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597" w:rsidRPr="00384B41" w:rsidRDefault="00EA6DDE" w:rsidP="00384B41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4B41">
        <w:rPr>
          <w:rFonts w:ascii="Times New Roman" w:hAnsi="Times New Roman" w:cs="Times New Roman"/>
          <w:b/>
          <w:sz w:val="24"/>
          <w:szCs w:val="24"/>
        </w:rPr>
        <w:t>Годовой отчет о ходе реализации и эффективности мероприятий г</w:t>
      </w:r>
      <w:r w:rsidR="00C11597" w:rsidRPr="00384B41">
        <w:rPr>
          <w:rFonts w:ascii="Times New Roman" w:hAnsi="Times New Roman" w:cs="Times New Roman"/>
          <w:b/>
          <w:sz w:val="24"/>
          <w:szCs w:val="24"/>
        </w:rPr>
        <w:t>осударственной программы Ханты-Мансийского автономного округа – Югры «Развитие жилищно-коммунального комплекса и повышение энергетической эффективности в Ханты-Мансийском автономном округе – Югре на 2014 – 2020 годы» за 201</w:t>
      </w:r>
      <w:r w:rsidR="00562957" w:rsidRPr="00384B41">
        <w:rPr>
          <w:rFonts w:ascii="Times New Roman" w:hAnsi="Times New Roman" w:cs="Times New Roman"/>
          <w:b/>
          <w:sz w:val="24"/>
          <w:szCs w:val="24"/>
        </w:rPr>
        <w:t>5</w:t>
      </w:r>
      <w:r w:rsidR="00C11597" w:rsidRPr="00384B4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9F4ABB" w:rsidRPr="00384B41" w:rsidRDefault="009F4ABB" w:rsidP="00384B41">
      <w:pPr>
        <w:spacing w:after="0" w:line="276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4B41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Pr="00384B41">
        <w:rPr>
          <w:rFonts w:ascii="Times New Roman" w:hAnsi="Times New Roman" w:cs="Times New Roman"/>
          <w:b/>
          <w:i/>
          <w:sz w:val="24"/>
          <w:szCs w:val="24"/>
        </w:rPr>
        <w:t xml:space="preserve">1. Описание изменений в сфере </w:t>
      </w:r>
      <w:r w:rsidR="00A64BB9" w:rsidRPr="00384B41">
        <w:rPr>
          <w:rFonts w:ascii="Times New Roman" w:hAnsi="Times New Roman" w:cs="Times New Roman"/>
          <w:b/>
          <w:i/>
          <w:sz w:val="24"/>
          <w:szCs w:val="24"/>
        </w:rPr>
        <w:t>жилищно-коммунального комплекса и энергетики</w:t>
      </w:r>
      <w:r w:rsidR="00B046EE" w:rsidRPr="00384B41">
        <w:rPr>
          <w:rFonts w:ascii="Times New Roman" w:hAnsi="Times New Roman" w:cs="Times New Roman"/>
          <w:b/>
          <w:i/>
          <w:sz w:val="24"/>
          <w:szCs w:val="24"/>
        </w:rPr>
        <w:t>, положение в отрасли и влияние на социально-экономическое развитие автономного окр</w:t>
      </w:r>
      <w:r w:rsidR="00B55EB5" w:rsidRPr="00384B41"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B046EE" w:rsidRPr="00384B41">
        <w:rPr>
          <w:rFonts w:ascii="Times New Roman" w:hAnsi="Times New Roman" w:cs="Times New Roman"/>
          <w:b/>
          <w:i/>
          <w:sz w:val="24"/>
          <w:szCs w:val="24"/>
        </w:rPr>
        <w:t>га в 201</w:t>
      </w:r>
      <w:r w:rsidR="00562957" w:rsidRPr="00384B41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B046EE" w:rsidRPr="00384B41">
        <w:rPr>
          <w:rFonts w:ascii="Times New Roman" w:hAnsi="Times New Roman" w:cs="Times New Roman"/>
          <w:b/>
          <w:i/>
          <w:sz w:val="24"/>
          <w:szCs w:val="24"/>
        </w:rPr>
        <w:t xml:space="preserve"> году</w:t>
      </w:r>
    </w:p>
    <w:p w:rsidR="00F4108C" w:rsidRPr="00384B41" w:rsidRDefault="00E25D5C" w:rsidP="00384B41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84B41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9535A5" w:rsidRPr="00384B41" w:rsidRDefault="00117917" w:rsidP="00384B4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Жилищно-ко</w:t>
      </w:r>
      <w:r w:rsidR="00B55EB5" w:rsidRPr="00384B41">
        <w:rPr>
          <w:rFonts w:ascii="Times New Roman" w:hAnsi="Times New Roman" w:cs="Times New Roman"/>
          <w:sz w:val="24"/>
          <w:szCs w:val="24"/>
        </w:rPr>
        <w:t>м</w:t>
      </w:r>
      <w:r w:rsidRPr="00384B41">
        <w:rPr>
          <w:rFonts w:ascii="Times New Roman" w:hAnsi="Times New Roman" w:cs="Times New Roman"/>
          <w:sz w:val="24"/>
          <w:szCs w:val="24"/>
        </w:rPr>
        <w:t>мунальный комплекс</w:t>
      </w:r>
      <w:r w:rsidRPr="00384B4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sz w:val="24"/>
          <w:szCs w:val="24"/>
        </w:rPr>
        <w:t xml:space="preserve">является одной из важнейших отраслей социально-экономической сферы Ханты-Мансийского автономного округа – Югры. </w:t>
      </w:r>
      <w:r w:rsidR="009535A5" w:rsidRPr="00384B41">
        <w:rPr>
          <w:rFonts w:ascii="Times New Roman" w:hAnsi="Times New Roman" w:cs="Times New Roman"/>
          <w:sz w:val="24"/>
          <w:szCs w:val="24"/>
        </w:rPr>
        <w:t xml:space="preserve">Проводимая в регионе государственная политика </w:t>
      </w:r>
      <w:r w:rsidRPr="00384B41">
        <w:rPr>
          <w:rFonts w:ascii="Times New Roman" w:hAnsi="Times New Roman" w:cs="Times New Roman"/>
          <w:sz w:val="24"/>
          <w:szCs w:val="24"/>
        </w:rPr>
        <w:t>по реформированию и развитию жилищно-коммунального хозяйства</w:t>
      </w:r>
      <w:r w:rsidR="009535A5" w:rsidRPr="00384B41">
        <w:rPr>
          <w:rFonts w:ascii="Times New Roman" w:hAnsi="Times New Roman" w:cs="Times New Roman"/>
          <w:sz w:val="24"/>
          <w:szCs w:val="24"/>
        </w:rPr>
        <w:t xml:space="preserve"> основана на программно-целевом подходе и направлена на </w:t>
      </w:r>
      <w:r w:rsidR="000F63A5" w:rsidRPr="00384B41">
        <w:rPr>
          <w:rFonts w:ascii="Times New Roman" w:hAnsi="Times New Roman" w:cs="Times New Roman"/>
          <w:sz w:val="24"/>
          <w:szCs w:val="24"/>
        </w:rPr>
        <w:t>создани</w:t>
      </w:r>
      <w:r w:rsidR="009535A5" w:rsidRPr="00384B41">
        <w:rPr>
          <w:rFonts w:ascii="Times New Roman" w:hAnsi="Times New Roman" w:cs="Times New Roman"/>
          <w:sz w:val="24"/>
          <w:szCs w:val="24"/>
        </w:rPr>
        <w:t>е</w:t>
      </w:r>
      <w:r w:rsidR="000F63A5" w:rsidRPr="00384B41">
        <w:rPr>
          <w:rFonts w:ascii="Times New Roman" w:hAnsi="Times New Roman" w:cs="Times New Roman"/>
          <w:sz w:val="24"/>
          <w:szCs w:val="24"/>
        </w:rPr>
        <w:t xml:space="preserve"> условий для обеспечения населения качественными услугами жилищно-коммунального хозяйства, обеспечения потребителей электрической энергии надежным и качественным электроснабжением, а также повышени</w:t>
      </w:r>
      <w:r w:rsidR="009535A5" w:rsidRPr="00384B41">
        <w:rPr>
          <w:rFonts w:ascii="Times New Roman" w:hAnsi="Times New Roman" w:cs="Times New Roman"/>
          <w:sz w:val="24"/>
          <w:szCs w:val="24"/>
        </w:rPr>
        <w:t>е</w:t>
      </w:r>
      <w:r w:rsidR="000F63A5" w:rsidRPr="00384B41">
        <w:rPr>
          <w:rFonts w:ascii="Times New Roman" w:hAnsi="Times New Roman" w:cs="Times New Roman"/>
          <w:sz w:val="24"/>
          <w:szCs w:val="24"/>
        </w:rPr>
        <w:t xml:space="preserve"> эффективности использования топливно-энергетических ресурсов Ханты-Мансийского автономного округа </w:t>
      </w:r>
      <w:r w:rsidR="009535A5" w:rsidRPr="00384B41">
        <w:rPr>
          <w:rFonts w:ascii="Times New Roman" w:hAnsi="Times New Roman" w:cs="Times New Roman"/>
          <w:sz w:val="24"/>
          <w:szCs w:val="24"/>
        </w:rPr>
        <w:t>–</w:t>
      </w:r>
      <w:r w:rsidR="000F63A5" w:rsidRPr="00384B41">
        <w:rPr>
          <w:rFonts w:ascii="Times New Roman" w:hAnsi="Times New Roman" w:cs="Times New Roman"/>
          <w:sz w:val="24"/>
          <w:szCs w:val="24"/>
        </w:rPr>
        <w:t xml:space="preserve"> Югры</w:t>
      </w:r>
      <w:r w:rsidR="009535A5" w:rsidRPr="00384B41">
        <w:rPr>
          <w:rFonts w:ascii="Times New Roman" w:hAnsi="Times New Roman" w:cs="Times New Roman"/>
          <w:sz w:val="24"/>
          <w:szCs w:val="24"/>
        </w:rPr>
        <w:t>.</w:t>
      </w:r>
    </w:p>
    <w:p w:rsidR="000F63A5" w:rsidRPr="00384B41" w:rsidRDefault="009535A5" w:rsidP="00384B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       </w:t>
      </w:r>
      <w:r w:rsidR="000F63A5"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sz w:val="24"/>
          <w:szCs w:val="24"/>
        </w:rPr>
        <w:t xml:space="preserve">С целью реализации данных направлений </w:t>
      </w:r>
      <w:r w:rsidR="000F63A5" w:rsidRPr="00384B41">
        <w:rPr>
          <w:rFonts w:ascii="Times New Roman" w:hAnsi="Times New Roman" w:cs="Times New Roman"/>
          <w:sz w:val="24"/>
          <w:szCs w:val="24"/>
        </w:rPr>
        <w:t>в соответствии с постановлением Правительства автономного округа от 12 июля 2013 года N 247-п "О государственных и ведомственных целевых программах Ханты-Мансийского автономного округа - Югры", распоряжением Правительства автономного округа от 24 июня 2013 года N 321-рп "О перечне государственных программ Ханты-Мансийского автономн</w:t>
      </w:r>
      <w:r w:rsidR="00D414DF" w:rsidRPr="00384B41">
        <w:rPr>
          <w:rFonts w:ascii="Times New Roman" w:hAnsi="Times New Roman" w:cs="Times New Roman"/>
          <w:sz w:val="24"/>
          <w:szCs w:val="24"/>
        </w:rPr>
        <w:t xml:space="preserve">ого округа - Югры", </w:t>
      </w:r>
      <w:r w:rsidR="00117917" w:rsidRPr="00384B41">
        <w:rPr>
          <w:rFonts w:ascii="Times New Roman" w:hAnsi="Times New Roman" w:cs="Times New Roman"/>
          <w:sz w:val="24"/>
          <w:szCs w:val="24"/>
        </w:rPr>
        <w:t xml:space="preserve">Правительством автономного округа </w:t>
      </w:r>
      <w:r w:rsidR="00D414DF" w:rsidRPr="00384B41">
        <w:rPr>
          <w:rFonts w:ascii="Times New Roman" w:hAnsi="Times New Roman" w:cs="Times New Roman"/>
          <w:sz w:val="24"/>
          <w:szCs w:val="24"/>
        </w:rPr>
        <w:t>утвержден</w:t>
      </w:r>
      <w:r w:rsidR="000F63A5" w:rsidRPr="00384B41">
        <w:rPr>
          <w:rFonts w:ascii="Times New Roman" w:hAnsi="Times New Roman" w:cs="Times New Roman"/>
          <w:sz w:val="24"/>
          <w:szCs w:val="24"/>
        </w:rPr>
        <w:t>а государственная программа Ханты-Мансийского автономного округа - Югры "Развитие жилищно-коммунального комплекса и повышение энергетической эффективности в Ханты-Мансийском автономном округе - Югре на 2014 - 2020 годы" (дал</w:t>
      </w:r>
      <w:r w:rsidR="00117917" w:rsidRPr="00384B41">
        <w:rPr>
          <w:rFonts w:ascii="Times New Roman" w:hAnsi="Times New Roman" w:cs="Times New Roman"/>
          <w:sz w:val="24"/>
          <w:szCs w:val="24"/>
        </w:rPr>
        <w:t xml:space="preserve">ее - </w:t>
      </w:r>
      <w:r w:rsidR="005C478C" w:rsidRPr="00384B41">
        <w:rPr>
          <w:rFonts w:ascii="Times New Roman" w:hAnsi="Times New Roman" w:cs="Times New Roman"/>
          <w:sz w:val="24"/>
          <w:szCs w:val="24"/>
        </w:rPr>
        <w:t>Г</w:t>
      </w:r>
      <w:r w:rsidR="00117917" w:rsidRPr="00384B41">
        <w:rPr>
          <w:rFonts w:ascii="Times New Roman" w:hAnsi="Times New Roman" w:cs="Times New Roman"/>
          <w:sz w:val="24"/>
          <w:szCs w:val="24"/>
        </w:rPr>
        <w:t>осударственная программа).</w:t>
      </w:r>
      <w:r w:rsidR="000F63A5" w:rsidRPr="00384B41">
        <w:rPr>
          <w:rFonts w:ascii="Times New Roman" w:hAnsi="Times New Roman" w:cs="Times New Roman"/>
          <w:sz w:val="24"/>
          <w:szCs w:val="24"/>
        </w:rPr>
        <w:t xml:space="preserve"> Департамент жилищно-коммунального комплекса и энергетики Ханты-Мансийского автономного округа - Югры </w:t>
      </w:r>
      <w:r w:rsidR="00C50D60" w:rsidRPr="00384B41">
        <w:rPr>
          <w:rFonts w:ascii="Times New Roman" w:hAnsi="Times New Roman" w:cs="Times New Roman"/>
          <w:sz w:val="24"/>
          <w:szCs w:val="24"/>
        </w:rPr>
        <w:t xml:space="preserve">(далее – Департамент) </w:t>
      </w:r>
      <w:r w:rsidR="00EA6DDE" w:rsidRPr="00384B41">
        <w:rPr>
          <w:rFonts w:ascii="Times New Roman" w:hAnsi="Times New Roman" w:cs="Times New Roman"/>
          <w:sz w:val="24"/>
          <w:szCs w:val="24"/>
        </w:rPr>
        <w:t>является</w:t>
      </w:r>
      <w:r w:rsidR="000F63A5" w:rsidRPr="00384B41">
        <w:rPr>
          <w:rFonts w:ascii="Times New Roman" w:hAnsi="Times New Roman" w:cs="Times New Roman"/>
          <w:sz w:val="24"/>
          <w:szCs w:val="24"/>
        </w:rPr>
        <w:t xml:space="preserve"> ответственным исполнителем государственной программы. Органами местного самоуправления муниципальных образований Ханты-Мансийского автономного округа - Югры утверждены аналогичные программы и предусмотрены в местных бюджетах средства на их реализацию, утвержден порядок их расходования.</w:t>
      </w:r>
    </w:p>
    <w:p w:rsidR="008B02E7" w:rsidRPr="00384B41" w:rsidRDefault="008B02E7" w:rsidP="00384B41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Основные направления деятельности Департамента в жилищно-коммунальной сфере базируются на решении приоритетных задач для обеспечения устойчивого и динамичного повышения качества жизни населения Ханты-Мансийского автономного округа – Югры за счет увеличения доли населения, обеспеченного благоустроенным жильем и качественными коммунальными услугами.</w:t>
      </w:r>
    </w:p>
    <w:p w:rsidR="00CF52D1" w:rsidRPr="00384B41" w:rsidRDefault="000F63A5" w:rsidP="00384B41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Основные приоритеты среднесрочной и долгосрочной экономической политики Правительства автономного округа, прогноз социально-экономического развития отрасли на период до 2030 года закреплены программой социально-экономического развития Ханты-Мансийского автономного округа – Югры. </w:t>
      </w:r>
      <w:r w:rsidR="00EA6DDE" w:rsidRPr="00384B41">
        <w:rPr>
          <w:rFonts w:ascii="Times New Roman" w:hAnsi="Times New Roman" w:cs="Times New Roman"/>
          <w:sz w:val="24"/>
          <w:szCs w:val="24"/>
        </w:rPr>
        <w:t>Реализуются мероприятия</w:t>
      </w:r>
      <w:r w:rsidRPr="00384B41">
        <w:rPr>
          <w:rFonts w:ascii="Times New Roman" w:hAnsi="Times New Roman" w:cs="Times New Roman"/>
          <w:sz w:val="24"/>
          <w:szCs w:val="24"/>
        </w:rPr>
        <w:t xml:space="preserve"> "дорожн</w:t>
      </w:r>
      <w:r w:rsidR="00EA6DDE" w:rsidRPr="00384B41">
        <w:rPr>
          <w:rFonts w:ascii="Times New Roman" w:hAnsi="Times New Roman" w:cs="Times New Roman"/>
          <w:sz w:val="24"/>
          <w:szCs w:val="24"/>
        </w:rPr>
        <w:t>ой</w:t>
      </w:r>
      <w:r w:rsidRPr="00384B41">
        <w:rPr>
          <w:rFonts w:ascii="Times New Roman" w:hAnsi="Times New Roman" w:cs="Times New Roman"/>
          <w:sz w:val="24"/>
          <w:szCs w:val="24"/>
        </w:rPr>
        <w:t xml:space="preserve"> карт</w:t>
      </w:r>
      <w:r w:rsidR="00EA6DDE" w:rsidRPr="00384B41">
        <w:rPr>
          <w:rFonts w:ascii="Times New Roman" w:hAnsi="Times New Roman" w:cs="Times New Roman"/>
          <w:sz w:val="24"/>
          <w:szCs w:val="24"/>
        </w:rPr>
        <w:t>ы</w:t>
      </w:r>
      <w:r w:rsidRPr="00384B41">
        <w:rPr>
          <w:rFonts w:ascii="Times New Roman" w:hAnsi="Times New Roman" w:cs="Times New Roman"/>
          <w:sz w:val="24"/>
          <w:szCs w:val="24"/>
        </w:rPr>
        <w:t>"</w:t>
      </w:r>
      <w:r w:rsidR="00EA6DDE" w:rsidRPr="00384B41">
        <w:rPr>
          <w:rFonts w:ascii="Times New Roman" w:hAnsi="Times New Roman" w:cs="Times New Roman"/>
          <w:sz w:val="24"/>
          <w:szCs w:val="24"/>
        </w:rPr>
        <w:t xml:space="preserve">, исполнение </w:t>
      </w:r>
      <w:r w:rsidRPr="00384B41">
        <w:rPr>
          <w:rFonts w:ascii="Times New Roman" w:hAnsi="Times New Roman" w:cs="Times New Roman"/>
          <w:sz w:val="24"/>
          <w:szCs w:val="24"/>
        </w:rPr>
        <w:t>котор</w:t>
      </w:r>
      <w:r w:rsidR="00EA6DDE" w:rsidRPr="00384B41">
        <w:rPr>
          <w:rFonts w:ascii="Times New Roman" w:hAnsi="Times New Roman" w:cs="Times New Roman"/>
          <w:sz w:val="24"/>
          <w:szCs w:val="24"/>
        </w:rPr>
        <w:t>ых</w:t>
      </w:r>
      <w:r w:rsidRPr="00384B41">
        <w:rPr>
          <w:rFonts w:ascii="Times New Roman" w:hAnsi="Times New Roman" w:cs="Times New Roman"/>
          <w:sz w:val="24"/>
          <w:szCs w:val="24"/>
        </w:rPr>
        <w:t xml:space="preserve"> влияют на решение задач, поставленных в </w:t>
      </w:r>
      <w:r w:rsidR="00B55EB5" w:rsidRPr="00384B41">
        <w:rPr>
          <w:rFonts w:ascii="Times New Roman" w:hAnsi="Times New Roman" w:cs="Times New Roman"/>
          <w:sz w:val="24"/>
          <w:szCs w:val="24"/>
        </w:rPr>
        <w:t>У</w:t>
      </w:r>
      <w:r w:rsidRPr="00384B41">
        <w:rPr>
          <w:rFonts w:ascii="Times New Roman" w:hAnsi="Times New Roman" w:cs="Times New Roman"/>
          <w:sz w:val="24"/>
          <w:szCs w:val="24"/>
        </w:rPr>
        <w:t>казах Президента Российской Федерации в части развития жилищно-коммунального комплекса и конкуренции на данном рынке услуг.</w:t>
      </w:r>
      <w:r w:rsidR="001C30BD" w:rsidRPr="00384B41">
        <w:rPr>
          <w:rFonts w:ascii="Times New Roman" w:hAnsi="Times New Roman" w:cs="Times New Roman"/>
          <w:sz w:val="24"/>
          <w:szCs w:val="24"/>
        </w:rPr>
        <w:t xml:space="preserve"> Продолжена реализация мероприятий </w:t>
      </w:r>
      <w:r w:rsidR="00B55EB5" w:rsidRPr="00384B41">
        <w:rPr>
          <w:rFonts w:ascii="Times New Roman" w:hAnsi="Times New Roman" w:cs="Times New Roman"/>
          <w:sz w:val="24"/>
          <w:szCs w:val="24"/>
        </w:rPr>
        <w:t>«</w:t>
      </w:r>
      <w:r w:rsidR="00CF52D1" w:rsidRPr="00384B41">
        <w:rPr>
          <w:rFonts w:ascii="Times New Roman" w:hAnsi="Times New Roman" w:cs="Times New Roman"/>
          <w:sz w:val="24"/>
          <w:szCs w:val="24"/>
        </w:rPr>
        <w:t>Программ</w:t>
      </w:r>
      <w:r w:rsidR="001C30BD" w:rsidRPr="00384B41">
        <w:rPr>
          <w:rFonts w:ascii="Times New Roman" w:hAnsi="Times New Roman" w:cs="Times New Roman"/>
          <w:sz w:val="24"/>
          <w:szCs w:val="24"/>
        </w:rPr>
        <w:t>ы</w:t>
      </w:r>
      <w:r w:rsidR="00CF52D1" w:rsidRPr="00384B41">
        <w:rPr>
          <w:rFonts w:ascii="Times New Roman" w:hAnsi="Times New Roman" w:cs="Times New Roman"/>
          <w:sz w:val="24"/>
          <w:szCs w:val="24"/>
        </w:rPr>
        <w:t xml:space="preserve"> капитального ремонта общего и имущества в многоквартирных домах, расположенных на территории Ханты-Мансийского автономного округа – Югры</w:t>
      </w:r>
      <w:r w:rsidR="00B55EB5" w:rsidRPr="00384B41">
        <w:rPr>
          <w:rFonts w:ascii="Times New Roman" w:hAnsi="Times New Roman" w:cs="Times New Roman"/>
          <w:sz w:val="24"/>
          <w:szCs w:val="24"/>
        </w:rPr>
        <w:t>»</w:t>
      </w:r>
      <w:r w:rsidR="001C30BD" w:rsidRPr="00384B41">
        <w:rPr>
          <w:rFonts w:ascii="Times New Roman" w:hAnsi="Times New Roman" w:cs="Times New Roman"/>
          <w:sz w:val="24"/>
          <w:szCs w:val="24"/>
        </w:rPr>
        <w:t>, утвержденной постановлением Правительства автономного округа от 25.12.2013 года № 568-п. Продолжена деятельность Югорского оператора, созданного в целях</w:t>
      </w:r>
      <w:r w:rsidR="00CF52D1"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CF52D1" w:rsidRPr="00384B41">
        <w:rPr>
          <w:rFonts w:ascii="Times New Roman" w:hAnsi="Times New Roman" w:cs="Times New Roman"/>
          <w:sz w:val="24"/>
          <w:szCs w:val="24"/>
        </w:rPr>
        <w:lastRenderedPageBreak/>
        <w:t>организации и обеспечения своевременного проведения капитального ремонта общего имущества в многоквартирных домах, в том числе финансового обеспечения, формирования средств и имущества для такого ре</w:t>
      </w:r>
      <w:r w:rsidR="001C30BD" w:rsidRPr="00384B41">
        <w:rPr>
          <w:rFonts w:ascii="Times New Roman" w:hAnsi="Times New Roman" w:cs="Times New Roman"/>
          <w:sz w:val="24"/>
          <w:szCs w:val="24"/>
        </w:rPr>
        <w:t>монта на территории автономного.</w:t>
      </w:r>
    </w:p>
    <w:p w:rsidR="000F63A5" w:rsidRPr="00384B41" w:rsidRDefault="000F63A5" w:rsidP="00384B41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Определен перечень показателей, обеспечивающих долгосрочную макроэкономическую стабильность, проводится системный мониторинг целевых показателей, установленных </w:t>
      </w:r>
      <w:r w:rsidR="00FE000F" w:rsidRPr="00384B41">
        <w:rPr>
          <w:rFonts w:ascii="Times New Roman" w:hAnsi="Times New Roman" w:cs="Times New Roman"/>
          <w:sz w:val="24"/>
          <w:szCs w:val="24"/>
        </w:rPr>
        <w:t>У</w:t>
      </w:r>
      <w:r w:rsidRPr="00384B41">
        <w:rPr>
          <w:rFonts w:ascii="Times New Roman" w:hAnsi="Times New Roman" w:cs="Times New Roman"/>
          <w:sz w:val="24"/>
          <w:szCs w:val="24"/>
        </w:rPr>
        <w:t xml:space="preserve">казами </w:t>
      </w:r>
      <w:r w:rsidR="00C93E22" w:rsidRPr="00384B41">
        <w:rPr>
          <w:rFonts w:ascii="Times New Roman" w:hAnsi="Times New Roman" w:cs="Times New Roman"/>
          <w:sz w:val="24"/>
          <w:szCs w:val="24"/>
        </w:rPr>
        <w:t>Президента Российской Федерации</w:t>
      </w:r>
      <w:r w:rsidRPr="00384B41">
        <w:rPr>
          <w:rFonts w:ascii="Times New Roman" w:hAnsi="Times New Roman" w:cs="Times New Roman"/>
          <w:sz w:val="24"/>
          <w:szCs w:val="24"/>
        </w:rPr>
        <w:t>, а также перечень показателей, обеспечивающих долгосрочную макроэкономическую стабильность.</w:t>
      </w:r>
    </w:p>
    <w:p w:rsidR="00562957" w:rsidRPr="00384B41" w:rsidRDefault="00D264F3" w:rsidP="00384B41">
      <w:pPr>
        <w:keepNext/>
        <w:widowControl w:val="0"/>
        <w:spacing w:after="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В 201</w:t>
      </w:r>
      <w:r w:rsidR="00562957" w:rsidRPr="00384B41">
        <w:rPr>
          <w:rFonts w:ascii="Times New Roman" w:hAnsi="Times New Roman" w:cs="Times New Roman"/>
          <w:sz w:val="24"/>
          <w:szCs w:val="24"/>
        </w:rPr>
        <w:t>5</w:t>
      </w:r>
      <w:r w:rsidRPr="00384B41">
        <w:rPr>
          <w:rFonts w:ascii="Times New Roman" w:hAnsi="Times New Roman" w:cs="Times New Roman"/>
          <w:sz w:val="24"/>
          <w:szCs w:val="24"/>
        </w:rPr>
        <w:t xml:space="preserve"> году наблюдалась </w:t>
      </w:r>
      <w:r w:rsidR="00CA1EB2" w:rsidRPr="00384B41">
        <w:rPr>
          <w:rFonts w:ascii="Times New Roman" w:hAnsi="Times New Roman" w:cs="Times New Roman"/>
          <w:sz w:val="24"/>
          <w:szCs w:val="24"/>
        </w:rPr>
        <w:t>положительн</w:t>
      </w:r>
      <w:r w:rsidRPr="00384B41">
        <w:rPr>
          <w:rFonts w:ascii="Times New Roman" w:hAnsi="Times New Roman" w:cs="Times New Roman"/>
          <w:sz w:val="24"/>
          <w:szCs w:val="24"/>
        </w:rPr>
        <w:t>ая</w:t>
      </w:r>
      <w:r w:rsidR="00CA1EB2" w:rsidRPr="00384B41">
        <w:rPr>
          <w:rFonts w:ascii="Times New Roman" w:hAnsi="Times New Roman" w:cs="Times New Roman"/>
          <w:sz w:val="24"/>
          <w:szCs w:val="24"/>
        </w:rPr>
        <w:t xml:space="preserve"> динамик</w:t>
      </w:r>
      <w:r w:rsidRPr="00384B41">
        <w:rPr>
          <w:rFonts w:ascii="Times New Roman" w:hAnsi="Times New Roman" w:cs="Times New Roman"/>
          <w:sz w:val="24"/>
          <w:szCs w:val="24"/>
        </w:rPr>
        <w:t>а</w:t>
      </w:r>
      <w:r w:rsidR="00CA1EB2"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8A51A0" w:rsidRPr="00384B41">
        <w:rPr>
          <w:rFonts w:ascii="Times New Roman" w:hAnsi="Times New Roman" w:cs="Times New Roman"/>
          <w:sz w:val="24"/>
          <w:szCs w:val="24"/>
        </w:rPr>
        <w:t xml:space="preserve">повышения качества предоставляемых населению жилищно-коммунальных услуг и обеспечения потребителей надежным и качественным электроснабжением. </w:t>
      </w:r>
      <w:r w:rsidR="003B7FE9" w:rsidRPr="00384B41">
        <w:rPr>
          <w:rFonts w:ascii="Times New Roman" w:hAnsi="Times New Roman" w:cs="Times New Roman"/>
          <w:sz w:val="24"/>
          <w:szCs w:val="24"/>
        </w:rPr>
        <w:t>Проведены мероприятия</w:t>
      </w:r>
      <w:r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8A51A0" w:rsidRPr="00384B41">
        <w:rPr>
          <w:rFonts w:ascii="Times New Roman" w:hAnsi="Times New Roman" w:cs="Times New Roman"/>
          <w:sz w:val="24"/>
          <w:szCs w:val="24"/>
        </w:rPr>
        <w:t>по установке</w:t>
      </w:r>
      <w:r w:rsidRPr="00384B41">
        <w:rPr>
          <w:rFonts w:ascii="Times New Roman" w:hAnsi="Times New Roman" w:cs="Times New Roman"/>
          <w:sz w:val="24"/>
          <w:szCs w:val="24"/>
        </w:rPr>
        <w:t xml:space="preserve"> систем доочистки питьевой воды,</w:t>
      </w:r>
      <w:r w:rsidR="008A51A0"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562957" w:rsidRPr="00384B41">
        <w:rPr>
          <w:rFonts w:ascii="Times New Roman" w:hAnsi="Times New Roman" w:cs="Times New Roman"/>
          <w:sz w:val="24"/>
          <w:szCs w:val="24"/>
        </w:rPr>
        <w:t xml:space="preserve">завершены работы: реконструкция водозабора № 1 </w:t>
      </w:r>
      <w:proofErr w:type="spellStart"/>
      <w:r w:rsidR="00562957" w:rsidRPr="00384B41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="00562957" w:rsidRPr="00384B41">
        <w:rPr>
          <w:rFonts w:ascii="Times New Roman" w:hAnsi="Times New Roman" w:cs="Times New Roman"/>
          <w:sz w:val="24"/>
          <w:szCs w:val="24"/>
        </w:rPr>
        <w:t xml:space="preserve">. Междуреченский Кондинского района, реконструкция водозабора «Северный» в г. Ханты-Мансийске, строительно-монтажные работы по объектам канализационно-очистные сооружения в г. Нефтеюганске, модернизация станции обезжелезивания в г. Нефтеюганске, строительство теплотрассы в Нижневартовске, строительство и реконструкция канализационных очистных сооружений в г. </w:t>
      </w:r>
      <w:proofErr w:type="spellStart"/>
      <w:r w:rsidR="00562957" w:rsidRPr="00384B41">
        <w:rPr>
          <w:rFonts w:ascii="Times New Roman" w:hAnsi="Times New Roman" w:cs="Times New Roman"/>
          <w:sz w:val="24"/>
          <w:szCs w:val="24"/>
        </w:rPr>
        <w:t>Югорске</w:t>
      </w:r>
      <w:proofErr w:type="spellEnd"/>
      <w:r w:rsidR="00562957" w:rsidRPr="00384B41">
        <w:rPr>
          <w:rFonts w:ascii="Times New Roman" w:hAnsi="Times New Roman" w:cs="Times New Roman"/>
          <w:sz w:val="24"/>
          <w:szCs w:val="24"/>
        </w:rPr>
        <w:t xml:space="preserve">,  строительство сетей газоснабжения в г. Нягань, строительство цеха механического обезвоживания осадка станции очистки воды г. Нягань, строительство водозабора в п. Большие </w:t>
      </w:r>
      <w:proofErr w:type="spellStart"/>
      <w:r w:rsidR="00562957" w:rsidRPr="00384B41">
        <w:rPr>
          <w:rFonts w:ascii="Times New Roman" w:hAnsi="Times New Roman" w:cs="Times New Roman"/>
          <w:sz w:val="24"/>
          <w:szCs w:val="24"/>
        </w:rPr>
        <w:t>Леуши</w:t>
      </w:r>
      <w:proofErr w:type="spellEnd"/>
      <w:r w:rsidR="00562957" w:rsidRPr="00384B41">
        <w:rPr>
          <w:rFonts w:ascii="Times New Roman" w:hAnsi="Times New Roman" w:cs="Times New Roman"/>
          <w:sz w:val="24"/>
          <w:szCs w:val="24"/>
        </w:rPr>
        <w:t xml:space="preserve"> Октябрьского района, строительство газопровод к котельной с. Каменное Октябрьского района, разработка проектно-сметной документации по реконструкции канализационных очистных сооружений г. Урай и водоочистных сооружений в д. Ярки Ханты-Мансийского района</w:t>
      </w:r>
      <w:r w:rsidR="00B96869">
        <w:rPr>
          <w:rFonts w:ascii="Times New Roman" w:hAnsi="Times New Roman" w:cs="Times New Roman"/>
          <w:sz w:val="24"/>
          <w:szCs w:val="24"/>
        </w:rPr>
        <w:t>.</w:t>
      </w:r>
    </w:p>
    <w:p w:rsidR="00CA1EB2" w:rsidRPr="00384B41" w:rsidRDefault="00562957" w:rsidP="00384B41">
      <w:pPr>
        <w:keepNext/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С опережением графика подрядной организацией осуществляется строительство сетей газоснабжения в </w:t>
      </w:r>
      <w:proofErr w:type="spellStart"/>
      <w:r w:rsidRPr="00384B41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384B41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84B41">
        <w:rPr>
          <w:rFonts w:ascii="Times New Roman" w:hAnsi="Times New Roman" w:cs="Times New Roman"/>
          <w:sz w:val="24"/>
          <w:szCs w:val="24"/>
        </w:rPr>
        <w:t>Зеленоборск</w:t>
      </w:r>
      <w:proofErr w:type="spellEnd"/>
      <w:r w:rsidRPr="00384B41">
        <w:rPr>
          <w:rFonts w:ascii="Times New Roman" w:hAnsi="Times New Roman" w:cs="Times New Roman"/>
          <w:sz w:val="24"/>
          <w:szCs w:val="24"/>
        </w:rPr>
        <w:t xml:space="preserve"> Советского района</w:t>
      </w:r>
      <w:r w:rsidR="00D264F3" w:rsidRPr="00384B41">
        <w:rPr>
          <w:rFonts w:ascii="Times New Roman" w:hAnsi="Times New Roman" w:cs="Times New Roman"/>
          <w:sz w:val="24"/>
          <w:szCs w:val="24"/>
        </w:rPr>
        <w:t>,</w:t>
      </w:r>
      <w:r w:rsidR="003F78FF" w:rsidRPr="00384B41">
        <w:rPr>
          <w:rFonts w:ascii="Times New Roman" w:hAnsi="Times New Roman" w:cs="Times New Roman"/>
          <w:sz w:val="24"/>
          <w:szCs w:val="24"/>
        </w:rPr>
        <w:t xml:space="preserve"> произведена </w:t>
      </w:r>
      <w:proofErr w:type="gramStart"/>
      <w:r w:rsidR="003F78FF" w:rsidRPr="00384B41">
        <w:rPr>
          <w:rFonts w:ascii="Times New Roman" w:hAnsi="Times New Roman" w:cs="Times New Roman"/>
          <w:sz w:val="24"/>
          <w:szCs w:val="24"/>
        </w:rPr>
        <w:t>замена  и</w:t>
      </w:r>
      <w:proofErr w:type="gramEnd"/>
      <w:r w:rsidR="003F78FF" w:rsidRPr="00384B41">
        <w:rPr>
          <w:rFonts w:ascii="Times New Roman" w:hAnsi="Times New Roman" w:cs="Times New Roman"/>
          <w:sz w:val="24"/>
          <w:szCs w:val="24"/>
        </w:rPr>
        <w:t xml:space="preserve"> капитальный ремонт </w:t>
      </w:r>
      <w:r w:rsidR="003B7FE9" w:rsidRPr="00384B41">
        <w:rPr>
          <w:rFonts w:ascii="Times New Roman" w:hAnsi="Times New Roman" w:cs="Times New Roman"/>
          <w:sz w:val="24"/>
          <w:szCs w:val="24"/>
        </w:rPr>
        <w:t>84 169</w:t>
      </w:r>
      <w:r w:rsidR="003F78FF" w:rsidRPr="00384B41">
        <w:rPr>
          <w:rFonts w:ascii="Times New Roman" w:hAnsi="Times New Roman" w:cs="Times New Roman"/>
          <w:sz w:val="24"/>
          <w:szCs w:val="24"/>
        </w:rPr>
        <w:t xml:space="preserve"> метров газопроводов, систем теплоснабжения, водоснабжения и водоотведения, отремонтирована </w:t>
      </w:r>
      <w:r w:rsidR="003B7FE9" w:rsidRPr="00384B41">
        <w:rPr>
          <w:rFonts w:ascii="Times New Roman" w:hAnsi="Times New Roman" w:cs="Times New Roman"/>
          <w:sz w:val="24"/>
          <w:szCs w:val="24"/>
        </w:rPr>
        <w:t>36 единиц</w:t>
      </w:r>
      <w:r w:rsidR="003F78FF" w:rsidRPr="00384B41">
        <w:rPr>
          <w:rFonts w:ascii="Times New Roman" w:hAnsi="Times New Roman" w:cs="Times New Roman"/>
          <w:sz w:val="24"/>
          <w:szCs w:val="24"/>
        </w:rPr>
        <w:t xml:space="preserve"> котлового оборудования</w:t>
      </w:r>
      <w:r w:rsidR="003B7FE9" w:rsidRPr="00384B41">
        <w:rPr>
          <w:rFonts w:ascii="Times New Roman" w:hAnsi="Times New Roman" w:cs="Times New Roman"/>
          <w:sz w:val="24"/>
          <w:szCs w:val="24"/>
        </w:rPr>
        <w:t xml:space="preserve">. </w:t>
      </w:r>
      <w:r w:rsidR="003F78FF" w:rsidRPr="00384B41">
        <w:rPr>
          <w:rFonts w:ascii="Times New Roman" w:hAnsi="Times New Roman" w:cs="Times New Roman"/>
          <w:sz w:val="24"/>
          <w:szCs w:val="24"/>
        </w:rPr>
        <w:t>На основании чего в целом можно говорить об улучшении положения в отрасли по итогам за 201</w:t>
      </w:r>
      <w:r w:rsidRPr="00384B41">
        <w:rPr>
          <w:rFonts w:ascii="Times New Roman" w:hAnsi="Times New Roman" w:cs="Times New Roman"/>
          <w:sz w:val="24"/>
          <w:szCs w:val="24"/>
        </w:rPr>
        <w:t>5</w:t>
      </w:r>
      <w:r w:rsidR="003F78FF" w:rsidRPr="00384B41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471417" w:rsidRPr="00384B41" w:rsidRDefault="00471417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1417" w:rsidRPr="00384B41" w:rsidRDefault="00471417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4B41">
        <w:rPr>
          <w:rFonts w:ascii="Times New Roman" w:hAnsi="Times New Roman" w:cs="Times New Roman"/>
          <w:b/>
          <w:i/>
          <w:sz w:val="24"/>
          <w:szCs w:val="24"/>
        </w:rPr>
        <w:t>2</w:t>
      </w:r>
      <w:r w:rsidR="003B7FE9" w:rsidRPr="00384B4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384B41">
        <w:rPr>
          <w:rFonts w:ascii="Times New Roman" w:hAnsi="Times New Roman" w:cs="Times New Roman"/>
          <w:b/>
          <w:i/>
          <w:sz w:val="24"/>
          <w:szCs w:val="24"/>
        </w:rPr>
        <w:t xml:space="preserve"> Финансирование программных мероприятий</w:t>
      </w:r>
      <w:r w:rsidR="00A64BB9" w:rsidRPr="00384B41">
        <w:rPr>
          <w:rFonts w:ascii="Times New Roman" w:hAnsi="Times New Roman" w:cs="Times New Roman"/>
          <w:b/>
          <w:i/>
          <w:sz w:val="24"/>
          <w:szCs w:val="24"/>
        </w:rPr>
        <w:t xml:space="preserve"> в разрезе источников финансирования (анализ структуры и динамики источников финансирования – федеральный бюджет, бюджет автономного округа, бюджеты муниципальных образований автономного округа, иные внебюджетные источники)</w:t>
      </w:r>
      <w:r w:rsidR="003B7FE9" w:rsidRPr="00384B4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3B7FE9" w:rsidRPr="00384B41" w:rsidRDefault="003B7FE9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62081" w:rsidRPr="00384B41" w:rsidRDefault="00062081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Общий объем финансирования Государственной програ</w:t>
      </w:r>
      <w:r w:rsidR="00FE000F" w:rsidRPr="00384B41">
        <w:rPr>
          <w:rFonts w:ascii="Times New Roman" w:hAnsi="Times New Roman" w:cs="Times New Roman"/>
          <w:sz w:val="24"/>
          <w:szCs w:val="24"/>
        </w:rPr>
        <w:t>ммы в 201</w:t>
      </w:r>
      <w:r w:rsidR="003B7FE9" w:rsidRPr="00384B41">
        <w:rPr>
          <w:rFonts w:ascii="Times New Roman" w:hAnsi="Times New Roman" w:cs="Times New Roman"/>
          <w:sz w:val="24"/>
          <w:szCs w:val="24"/>
        </w:rPr>
        <w:t>5</w:t>
      </w:r>
      <w:r w:rsidR="00FE000F" w:rsidRPr="00384B41">
        <w:rPr>
          <w:rFonts w:ascii="Times New Roman" w:hAnsi="Times New Roman" w:cs="Times New Roman"/>
          <w:sz w:val="24"/>
          <w:szCs w:val="24"/>
        </w:rPr>
        <w:t xml:space="preserve"> году составил</w:t>
      </w:r>
      <w:r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3B7FE9" w:rsidRPr="00384B41">
        <w:rPr>
          <w:rFonts w:ascii="Times New Roman" w:hAnsi="Times New Roman" w:cs="Times New Roman"/>
          <w:sz w:val="24"/>
          <w:szCs w:val="24"/>
        </w:rPr>
        <w:t>9</w:t>
      </w:r>
      <w:r w:rsidR="009B742E" w:rsidRPr="00384B41">
        <w:rPr>
          <w:rFonts w:ascii="Times New Roman" w:hAnsi="Times New Roman" w:cs="Times New Roman"/>
          <w:sz w:val="24"/>
          <w:szCs w:val="24"/>
        </w:rPr>
        <w:t> </w:t>
      </w:r>
      <w:r w:rsidR="003B7FE9" w:rsidRPr="00384B41">
        <w:rPr>
          <w:rFonts w:ascii="Times New Roman" w:hAnsi="Times New Roman" w:cs="Times New Roman"/>
          <w:sz w:val="24"/>
          <w:szCs w:val="24"/>
        </w:rPr>
        <w:t>620</w:t>
      </w:r>
      <w:r w:rsidR="009B742E" w:rsidRPr="00384B41">
        <w:rPr>
          <w:rFonts w:ascii="Times New Roman" w:hAnsi="Times New Roman" w:cs="Times New Roman"/>
          <w:sz w:val="24"/>
          <w:szCs w:val="24"/>
        </w:rPr>
        <w:t> </w:t>
      </w:r>
      <w:r w:rsidR="003B7FE9" w:rsidRPr="00384B41">
        <w:rPr>
          <w:rFonts w:ascii="Times New Roman" w:hAnsi="Times New Roman" w:cs="Times New Roman"/>
          <w:sz w:val="24"/>
          <w:szCs w:val="24"/>
        </w:rPr>
        <w:t>880</w:t>
      </w:r>
      <w:r w:rsidR="009B742E" w:rsidRPr="00384B41">
        <w:rPr>
          <w:rFonts w:ascii="Times New Roman" w:hAnsi="Times New Roman" w:cs="Times New Roman"/>
          <w:sz w:val="24"/>
          <w:szCs w:val="24"/>
        </w:rPr>
        <w:t>,</w:t>
      </w:r>
      <w:r w:rsidR="003B7FE9" w:rsidRPr="00384B41">
        <w:rPr>
          <w:rFonts w:ascii="Times New Roman" w:hAnsi="Times New Roman" w:cs="Times New Roman"/>
          <w:sz w:val="24"/>
          <w:szCs w:val="24"/>
        </w:rPr>
        <w:t>5</w:t>
      </w:r>
      <w:r w:rsidRPr="00384B41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="009B742E" w:rsidRPr="00384B41">
        <w:rPr>
          <w:rFonts w:ascii="Times New Roman" w:hAnsi="Times New Roman" w:cs="Times New Roman"/>
          <w:sz w:val="24"/>
          <w:szCs w:val="24"/>
        </w:rPr>
        <w:t>в том числе:</w:t>
      </w:r>
    </w:p>
    <w:p w:rsidR="009B742E" w:rsidRPr="00384B41" w:rsidRDefault="009B742E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         </w:t>
      </w:r>
      <w:r w:rsidR="00FE000F" w:rsidRPr="00384B41">
        <w:rPr>
          <w:rFonts w:ascii="Times New Roman" w:hAnsi="Times New Roman" w:cs="Times New Roman"/>
          <w:sz w:val="24"/>
          <w:szCs w:val="24"/>
        </w:rPr>
        <w:t xml:space="preserve">- </w:t>
      </w:r>
      <w:r w:rsidRPr="00384B41">
        <w:rPr>
          <w:rFonts w:ascii="Times New Roman" w:hAnsi="Times New Roman" w:cs="Times New Roman"/>
          <w:sz w:val="24"/>
          <w:szCs w:val="24"/>
        </w:rPr>
        <w:t xml:space="preserve">федеральный бюджет </w:t>
      </w:r>
      <w:r w:rsidR="003B7FE9" w:rsidRPr="00384B41">
        <w:rPr>
          <w:rFonts w:ascii="Times New Roman" w:hAnsi="Times New Roman" w:cs="Times New Roman"/>
          <w:sz w:val="24"/>
          <w:szCs w:val="24"/>
        </w:rPr>
        <w:t>43</w:t>
      </w:r>
      <w:r w:rsidRPr="00384B41">
        <w:rPr>
          <w:rFonts w:ascii="Times New Roman" w:hAnsi="Times New Roman" w:cs="Times New Roman"/>
          <w:sz w:val="24"/>
          <w:szCs w:val="24"/>
        </w:rPr>
        <w:t> </w:t>
      </w:r>
      <w:r w:rsidR="003B7FE9" w:rsidRPr="00384B41">
        <w:rPr>
          <w:rFonts w:ascii="Times New Roman" w:hAnsi="Times New Roman" w:cs="Times New Roman"/>
          <w:sz w:val="24"/>
          <w:szCs w:val="24"/>
        </w:rPr>
        <w:t>638</w:t>
      </w:r>
      <w:r w:rsidRPr="00384B41">
        <w:rPr>
          <w:rFonts w:ascii="Times New Roman" w:hAnsi="Times New Roman" w:cs="Times New Roman"/>
          <w:sz w:val="24"/>
          <w:szCs w:val="24"/>
        </w:rPr>
        <w:t>,</w:t>
      </w:r>
      <w:r w:rsidR="003B7FE9" w:rsidRPr="00384B41">
        <w:rPr>
          <w:rFonts w:ascii="Times New Roman" w:hAnsi="Times New Roman" w:cs="Times New Roman"/>
          <w:sz w:val="24"/>
          <w:szCs w:val="24"/>
        </w:rPr>
        <w:t>1</w:t>
      </w:r>
      <w:r w:rsidRPr="00384B4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9B742E" w:rsidRPr="00384B41" w:rsidRDefault="009B742E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         </w:t>
      </w:r>
      <w:r w:rsidR="00FE000F" w:rsidRPr="00384B41">
        <w:rPr>
          <w:rFonts w:ascii="Times New Roman" w:hAnsi="Times New Roman" w:cs="Times New Roman"/>
          <w:sz w:val="24"/>
          <w:szCs w:val="24"/>
        </w:rPr>
        <w:t xml:space="preserve">- </w:t>
      </w:r>
      <w:r w:rsidRPr="00384B41">
        <w:rPr>
          <w:rFonts w:ascii="Times New Roman" w:hAnsi="Times New Roman" w:cs="Times New Roman"/>
          <w:sz w:val="24"/>
          <w:szCs w:val="24"/>
        </w:rPr>
        <w:t xml:space="preserve">бюджет автономного округа </w:t>
      </w:r>
      <w:r w:rsidR="003B7FE9" w:rsidRPr="00384B41">
        <w:rPr>
          <w:rFonts w:ascii="Times New Roman" w:hAnsi="Times New Roman" w:cs="Times New Roman"/>
          <w:sz w:val="24"/>
          <w:szCs w:val="24"/>
        </w:rPr>
        <w:t>3 759 428,6</w:t>
      </w:r>
      <w:r w:rsidRPr="00384B41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9B742E" w:rsidRPr="00384B41" w:rsidRDefault="009B742E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         </w:t>
      </w:r>
      <w:r w:rsidR="00FE000F" w:rsidRPr="00384B41">
        <w:rPr>
          <w:rFonts w:ascii="Times New Roman" w:hAnsi="Times New Roman" w:cs="Times New Roman"/>
          <w:sz w:val="24"/>
          <w:szCs w:val="24"/>
        </w:rPr>
        <w:t xml:space="preserve">- </w:t>
      </w:r>
      <w:r w:rsidR="003B7FE9" w:rsidRPr="00384B41">
        <w:rPr>
          <w:rFonts w:ascii="Times New Roman" w:hAnsi="Times New Roman" w:cs="Times New Roman"/>
          <w:sz w:val="24"/>
          <w:szCs w:val="24"/>
        </w:rPr>
        <w:t>местный бюджет 476 156,1</w:t>
      </w:r>
      <w:r w:rsidRPr="00384B41">
        <w:rPr>
          <w:rFonts w:ascii="Times New Roman" w:hAnsi="Times New Roman" w:cs="Times New Roman"/>
          <w:sz w:val="24"/>
          <w:szCs w:val="24"/>
        </w:rPr>
        <w:t xml:space="preserve"> тыс. </w:t>
      </w:r>
      <w:proofErr w:type="gramStart"/>
      <w:r w:rsidRPr="00384B41">
        <w:rPr>
          <w:rFonts w:ascii="Times New Roman" w:hAnsi="Times New Roman" w:cs="Times New Roman"/>
          <w:sz w:val="24"/>
          <w:szCs w:val="24"/>
        </w:rPr>
        <w:t>рублей  (</w:t>
      </w:r>
      <w:proofErr w:type="gramEnd"/>
      <w:r w:rsidRPr="00384B41">
        <w:rPr>
          <w:rFonts w:ascii="Times New Roman" w:hAnsi="Times New Roman" w:cs="Times New Roman"/>
          <w:sz w:val="24"/>
          <w:szCs w:val="24"/>
        </w:rPr>
        <w:t xml:space="preserve">в том числе привлеченные средства от хозяйствующих субъектов, осуществляющих деятельность на территории автономного округа </w:t>
      </w:r>
      <w:r w:rsidR="00562957" w:rsidRPr="00384B41">
        <w:rPr>
          <w:rFonts w:ascii="Times New Roman" w:hAnsi="Times New Roman" w:cs="Times New Roman"/>
          <w:sz w:val="24"/>
          <w:szCs w:val="24"/>
        </w:rPr>
        <w:t>20 0</w:t>
      </w:r>
      <w:r w:rsidRPr="00384B41">
        <w:rPr>
          <w:rFonts w:ascii="Times New Roman" w:hAnsi="Times New Roman" w:cs="Times New Roman"/>
          <w:sz w:val="24"/>
          <w:szCs w:val="24"/>
        </w:rPr>
        <w:t>00,0 тыс. рублей);</w:t>
      </w:r>
    </w:p>
    <w:p w:rsidR="009B742E" w:rsidRPr="00384B41" w:rsidRDefault="009B742E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         </w:t>
      </w:r>
      <w:r w:rsidR="00FE000F" w:rsidRPr="00384B41">
        <w:rPr>
          <w:rFonts w:ascii="Times New Roman" w:hAnsi="Times New Roman" w:cs="Times New Roman"/>
          <w:sz w:val="24"/>
          <w:szCs w:val="24"/>
        </w:rPr>
        <w:t xml:space="preserve">- </w:t>
      </w:r>
      <w:r w:rsidRPr="00384B41">
        <w:rPr>
          <w:rFonts w:ascii="Times New Roman" w:hAnsi="Times New Roman" w:cs="Times New Roman"/>
          <w:sz w:val="24"/>
          <w:szCs w:val="24"/>
        </w:rPr>
        <w:t xml:space="preserve">иные внебюджетные источники </w:t>
      </w:r>
      <w:r w:rsidR="007947A4" w:rsidRPr="00384B41">
        <w:rPr>
          <w:rFonts w:ascii="Times New Roman" w:hAnsi="Times New Roman" w:cs="Times New Roman"/>
          <w:sz w:val="24"/>
          <w:szCs w:val="24"/>
        </w:rPr>
        <w:t>5 341 657,7</w:t>
      </w:r>
      <w:r w:rsidRPr="00384B41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D5069D" w:rsidRPr="00384B41" w:rsidRDefault="009B742E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         </w:t>
      </w:r>
      <w:r w:rsidR="00407BD7" w:rsidRPr="00384B41">
        <w:rPr>
          <w:rFonts w:ascii="Times New Roman" w:hAnsi="Times New Roman" w:cs="Times New Roman"/>
          <w:sz w:val="24"/>
          <w:szCs w:val="24"/>
        </w:rPr>
        <w:t xml:space="preserve">В том числе в Государственной программе предусмотрены средства в инвестиции в объекты государственной и муниципальной собственности в объеме </w:t>
      </w:r>
      <w:r w:rsidR="00B516DE" w:rsidRPr="00384B41">
        <w:rPr>
          <w:rFonts w:ascii="Times New Roman" w:hAnsi="Times New Roman" w:cs="Times New Roman"/>
          <w:sz w:val="24"/>
          <w:szCs w:val="24"/>
        </w:rPr>
        <w:t xml:space="preserve">1 622 612,9 </w:t>
      </w:r>
      <w:r w:rsidR="00407BD7" w:rsidRPr="00384B41">
        <w:rPr>
          <w:rFonts w:ascii="Times New Roman" w:hAnsi="Times New Roman" w:cs="Times New Roman"/>
          <w:sz w:val="24"/>
          <w:szCs w:val="24"/>
        </w:rPr>
        <w:t>тыс. рублей на 201</w:t>
      </w:r>
      <w:r w:rsidR="00562957" w:rsidRPr="00384B41">
        <w:rPr>
          <w:rFonts w:ascii="Times New Roman" w:hAnsi="Times New Roman" w:cs="Times New Roman"/>
          <w:sz w:val="24"/>
          <w:szCs w:val="24"/>
        </w:rPr>
        <w:t>5</w:t>
      </w:r>
      <w:r w:rsidR="00407BD7" w:rsidRPr="00384B41">
        <w:rPr>
          <w:rFonts w:ascii="Times New Roman" w:hAnsi="Times New Roman" w:cs="Times New Roman"/>
          <w:sz w:val="24"/>
          <w:szCs w:val="24"/>
        </w:rPr>
        <w:t xml:space="preserve"> год, из которых бюджет автономного округа составляет </w:t>
      </w:r>
      <w:r w:rsidR="00B516DE" w:rsidRPr="00384B41">
        <w:rPr>
          <w:rFonts w:ascii="Times New Roman" w:hAnsi="Times New Roman" w:cs="Times New Roman"/>
          <w:sz w:val="24"/>
          <w:szCs w:val="24"/>
        </w:rPr>
        <w:t>1 175 742,</w:t>
      </w:r>
      <w:proofErr w:type="gramStart"/>
      <w:r w:rsidR="00B516DE" w:rsidRPr="00384B41">
        <w:rPr>
          <w:rFonts w:ascii="Times New Roman" w:hAnsi="Times New Roman" w:cs="Times New Roman"/>
          <w:sz w:val="24"/>
          <w:szCs w:val="24"/>
        </w:rPr>
        <w:t xml:space="preserve">9  </w:t>
      </w:r>
      <w:r w:rsidR="00407BD7" w:rsidRPr="00384B41">
        <w:rPr>
          <w:rFonts w:ascii="Times New Roman" w:hAnsi="Times New Roman" w:cs="Times New Roman"/>
          <w:sz w:val="24"/>
          <w:szCs w:val="24"/>
        </w:rPr>
        <w:t>тыс.</w:t>
      </w:r>
      <w:proofErr w:type="gramEnd"/>
      <w:r w:rsidR="00407BD7" w:rsidRPr="00384B41">
        <w:rPr>
          <w:rFonts w:ascii="Times New Roman" w:hAnsi="Times New Roman" w:cs="Times New Roman"/>
          <w:sz w:val="24"/>
          <w:szCs w:val="24"/>
        </w:rPr>
        <w:t xml:space="preserve"> рублей, местный бюджет </w:t>
      </w:r>
      <w:r w:rsidR="00B516DE" w:rsidRPr="00384B41">
        <w:rPr>
          <w:rFonts w:ascii="Times New Roman" w:hAnsi="Times New Roman" w:cs="Times New Roman"/>
          <w:sz w:val="24"/>
          <w:szCs w:val="24"/>
        </w:rPr>
        <w:t xml:space="preserve">81 882,0  </w:t>
      </w:r>
      <w:r w:rsidR="00407BD7" w:rsidRPr="00384B41">
        <w:rPr>
          <w:rFonts w:ascii="Times New Roman" w:hAnsi="Times New Roman" w:cs="Times New Roman"/>
          <w:sz w:val="24"/>
          <w:szCs w:val="24"/>
        </w:rPr>
        <w:t xml:space="preserve">тыс. рублей (в том числе привлеченные средства от хозяйствующих субъектов, осуществляющих деятельность на территории автономного округа </w:t>
      </w:r>
      <w:r w:rsidR="00B516DE" w:rsidRPr="00384B41">
        <w:rPr>
          <w:rFonts w:ascii="Times New Roman" w:hAnsi="Times New Roman" w:cs="Times New Roman"/>
          <w:sz w:val="24"/>
          <w:szCs w:val="24"/>
        </w:rPr>
        <w:t>20 000</w:t>
      </w:r>
      <w:r w:rsidR="00407BD7" w:rsidRPr="00384B41">
        <w:rPr>
          <w:rFonts w:ascii="Times New Roman" w:hAnsi="Times New Roman" w:cs="Times New Roman"/>
          <w:sz w:val="24"/>
          <w:szCs w:val="24"/>
        </w:rPr>
        <w:t xml:space="preserve">,0 тыс. рублей), иные </w:t>
      </w:r>
      <w:r w:rsidR="00407BD7" w:rsidRPr="00384B41">
        <w:rPr>
          <w:rFonts w:ascii="Times New Roman" w:hAnsi="Times New Roman" w:cs="Times New Roman"/>
          <w:sz w:val="24"/>
          <w:szCs w:val="24"/>
        </w:rPr>
        <w:lastRenderedPageBreak/>
        <w:t xml:space="preserve">внебюджетные источники </w:t>
      </w:r>
      <w:r w:rsidR="00B516DE" w:rsidRPr="00384B41">
        <w:rPr>
          <w:rFonts w:ascii="Times New Roman" w:hAnsi="Times New Roman" w:cs="Times New Roman"/>
          <w:sz w:val="24"/>
          <w:szCs w:val="24"/>
        </w:rPr>
        <w:t xml:space="preserve">364 988,0 </w:t>
      </w:r>
      <w:r w:rsidR="00407BD7" w:rsidRPr="00384B41">
        <w:rPr>
          <w:rFonts w:ascii="Times New Roman" w:hAnsi="Times New Roman" w:cs="Times New Roman"/>
          <w:sz w:val="24"/>
          <w:szCs w:val="24"/>
        </w:rPr>
        <w:t>тыс. рублей. Реализация данного мероприятия производится в соответствии с постановлением Правительства автономного округа от 23 декабря 2010 года № 373-п «О порядке формирования и реализации Адресной инвестиционной программы Ханты-Мансийского автономного округа – Югры».</w:t>
      </w:r>
    </w:p>
    <w:p w:rsidR="00FE000F" w:rsidRPr="00384B41" w:rsidRDefault="00FE000F" w:rsidP="00384B41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Таблица 1</w:t>
      </w:r>
    </w:p>
    <w:p w:rsidR="00CC649C" w:rsidRPr="00384B41" w:rsidRDefault="00CC649C" w:rsidP="00384B4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Структура инвестиций по источникам финансирования</w:t>
      </w:r>
    </w:p>
    <w:tbl>
      <w:tblPr>
        <w:tblStyle w:val="a5"/>
        <w:tblW w:w="9232" w:type="dxa"/>
        <w:tblLook w:val="04A0" w:firstRow="1" w:lastRow="0" w:firstColumn="1" w:lastColumn="0" w:noHBand="0" w:noVBand="1"/>
      </w:tblPr>
      <w:tblGrid>
        <w:gridCol w:w="5752"/>
        <w:gridCol w:w="696"/>
        <w:gridCol w:w="696"/>
        <w:gridCol w:w="696"/>
        <w:gridCol w:w="696"/>
        <w:gridCol w:w="696"/>
      </w:tblGrid>
      <w:tr w:rsidR="00CC649C" w:rsidRPr="00384B41" w:rsidTr="00CC649C">
        <w:tc>
          <w:tcPr>
            <w:tcW w:w="6091" w:type="dxa"/>
          </w:tcPr>
          <w:p w:rsidR="00CC649C" w:rsidRPr="00384B41" w:rsidRDefault="00CC649C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b/>
                <w:sz w:val="24"/>
                <w:szCs w:val="24"/>
              </w:rPr>
              <w:t>% от общего объема инвестиций</w:t>
            </w:r>
          </w:p>
        </w:tc>
        <w:tc>
          <w:tcPr>
            <w:tcW w:w="616" w:type="dxa"/>
          </w:tcPr>
          <w:p w:rsidR="00CC649C" w:rsidRPr="00384B41" w:rsidRDefault="00CC649C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b/>
                <w:sz w:val="24"/>
                <w:szCs w:val="24"/>
              </w:rPr>
              <w:t>2012 год</w:t>
            </w:r>
          </w:p>
        </w:tc>
        <w:tc>
          <w:tcPr>
            <w:tcW w:w="616" w:type="dxa"/>
          </w:tcPr>
          <w:p w:rsidR="00CC649C" w:rsidRPr="00384B41" w:rsidRDefault="00CC649C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b/>
                <w:sz w:val="24"/>
                <w:szCs w:val="24"/>
              </w:rPr>
              <w:t>2013 год</w:t>
            </w:r>
          </w:p>
        </w:tc>
        <w:tc>
          <w:tcPr>
            <w:tcW w:w="633" w:type="dxa"/>
          </w:tcPr>
          <w:p w:rsidR="00CC649C" w:rsidRPr="00384B41" w:rsidRDefault="00CC649C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b/>
                <w:sz w:val="24"/>
                <w:szCs w:val="24"/>
              </w:rPr>
              <w:t>2014 год</w:t>
            </w:r>
          </w:p>
        </w:tc>
        <w:tc>
          <w:tcPr>
            <w:tcW w:w="660" w:type="dxa"/>
          </w:tcPr>
          <w:p w:rsidR="00CC649C" w:rsidRPr="00384B41" w:rsidRDefault="00CC649C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b/>
                <w:sz w:val="24"/>
                <w:szCs w:val="24"/>
              </w:rPr>
              <w:t>2015 год</w:t>
            </w:r>
          </w:p>
        </w:tc>
        <w:tc>
          <w:tcPr>
            <w:tcW w:w="616" w:type="dxa"/>
          </w:tcPr>
          <w:p w:rsidR="00CC649C" w:rsidRPr="00384B41" w:rsidRDefault="00CC649C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b/>
                <w:sz w:val="24"/>
                <w:szCs w:val="24"/>
              </w:rPr>
              <w:t>2016 год</w:t>
            </w:r>
          </w:p>
        </w:tc>
      </w:tr>
      <w:tr w:rsidR="00CC649C" w:rsidRPr="00384B41" w:rsidTr="00CC649C">
        <w:tc>
          <w:tcPr>
            <w:tcW w:w="6091" w:type="dxa"/>
          </w:tcPr>
          <w:p w:rsidR="00CC649C" w:rsidRPr="00384B41" w:rsidRDefault="00CC649C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привлеченные средства, в т.</w:t>
            </w:r>
            <w:r w:rsidR="007947A4" w:rsidRPr="00384B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ч. средства предприятий</w:t>
            </w:r>
          </w:p>
        </w:tc>
        <w:tc>
          <w:tcPr>
            <w:tcW w:w="616" w:type="dxa"/>
          </w:tcPr>
          <w:p w:rsidR="00CC649C" w:rsidRPr="00384B41" w:rsidRDefault="00CC649C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20,7</w:t>
            </w:r>
          </w:p>
        </w:tc>
        <w:tc>
          <w:tcPr>
            <w:tcW w:w="616" w:type="dxa"/>
          </w:tcPr>
          <w:p w:rsidR="00CC649C" w:rsidRPr="00384B41" w:rsidRDefault="00CC649C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633" w:type="dxa"/>
          </w:tcPr>
          <w:p w:rsidR="00CC649C" w:rsidRPr="00384B41" w:rsidRDefault="00CC649C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27,0</w:t>
            </w:r>
          </w:p>
        </w:tc>
        <w:tc>
          <w:tcPr>
            <w:tcW w:w="660" w:type="dxa"/>
          </w:tcPr>
          <w:p w:rsidR="00CC649C" w:rsidRPr="00384B41" w:rsidRDefault="00CC649C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28,</w:t>
            </w:r>
            <w:r w:rsidR="00B516DE" w:rsidRPr="00384B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16" w:type="dxa"/>
          </w:tcPr>
          <w:p w:rsidR="00CC649C" w:rsidRPr="00384B41" w:rsidRDefault="00CC649C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29,0</w:t>
            </w:r>
          </w:p>
        </w:tc>
      </w:tr>
      <w:tr w:rsidR="00CC649C" w:rsidRPr="00384B41" w:rsidTr="00CC649C">
        <w:tc>
          <w:tcPr>
            <w:tcW w:w="6091" w:type="dxa"/>
          </w:tcPr>
          <w:p w:rsidR="00CC649C" w:rsidRPr="00384B41" w:rsidRDefault="00CC649C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бюджетные средства</w:t>
            </w:r>
          </w:p>
        </w:tc>
        <w:tc>
          <w:tcPr>
            <w:tcW w:w="616" w:type="dxa"/>
          </w:tcPr>
          <w:p w:rsidR="00CC649C" w:rsidRPr="00384B41" w:rsidRDefault="00CC649C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616" w:type="dxa"/>
          </w:tcPr>
          <w:p w:rsidR="00CC649C" w:rsidRPr="00384B41" w:rsidRDefault="00CC649C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633" w:type="dxa"/>
          </w:tcPr>
          <w:p w:rsidR="00CC649C" w:rsidRPr="00384B41" w:rsidRDefault="00CC649C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660" w:type="dxa"/>
          </w:tcPr>
          <w:p w:rsidR="00CC649C" w:rsidRPr="00384B41" w:rsidRDefault="00B516D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616" w:type="dxa"/>
          </w:tcPr>
          <w:p w:rsidR="00CC649C" w:rsidRPr="00384B41" w:rsidRDefault="00CC649C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71,0</w:t>
            </w:r>
          </w:p>
        </w:tc>
      </w:tr>
    </w:tbl>
    <w:p w:rsidR="00487840" w:rsidRDefault="00CC649C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CC649C" w:rsidRPr="00384B41" w:rsidRDefault="00CC649C" w:rsidP="00487840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Анализируя данную таблицу можно сказать об активизации процессов привлечения инвестиционных ресурсов органами местного самоуправления муниципальных образований автономного округа, что свидетельствует о росте доли инвестиционных ресурсов</w:t>
      </w:r>
      <w:r w:rsidR="007F53FC" w:rsidRPr="00384B41">
        <w:rPr>
          <w:rFonts w:ascii="Times New Roman" w:hAnsi="Times New Roman" w:cs="Times New Roman"/>
          <w:sz w:val="24"/>
          <w:szCs w:val="24"/>
        </w:rPr>
        <w:t xml:space="preserve"> в общем объеме капитальных вложений в объекты коммунального комплекса.</w:t>
      </w:r>
    </w:p>
    <w:p w:rsidR="00B13862" w:rsidRPr="00384B41" w:rsidRDefault="00407BD7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13862" w:rsidRPr="00384B41">
        <w:rPr>
          <w:rFonts w:ascii="Times New Roman" w:hAnsi="Times New Roman" w:cs="Times New Roman"/>
          <w:sz w:val="24"/>
          <w:szCs w:val="24"/>
        </w:rPr>
        <w:t>По результатам работы за 201</w:t>
      </w:r>
      <w:r w:rsidR="007947A4" w:rsidRPr="00384B41">
        <w:rPr>
          <w:rFonts w:ascii="Times New Roman" w:hAnsi="Times New Roman" w:cs="Times New Roman"/>
          <w:sz w:val="24"/>
          <w:szCs w:val="24"/>
        </w:rPr>
        <w:t>5</w:t>
      </w:r>
      <w:r w:rsidRPr="00384B41">
        <w:rPr>
          <w:rFonts w:ascii="Times New Roman" w:hAnsi="Times New Roman" w:cs="Times New Roman"/>
          <w:sz w:val="24"/>
          <w:szCs w:val="24"/>
        </w:rPr>
        <w:t xml:space="preserve"> год на реализацию мероприятий Г</w:t>
      </w:r>
      <w:r w:rsidR="00B13862" w:rsidRPr="00384B41">
        <w:rPr>
          <w:rFonts w:ascii="Times New Roman" w:hAnsi="Times New Roman" w:cs="Times New Roman"/>
          <w:sz w:val="24"/>
          <w:szCs w:val="24"/>
        </w:rPr>
        <w:t xml:space="preserve">осударственной программы </w:t>
      </w:r>
      <w:r w:rsidR="00FE000F" w:rsidRPr="00384B41">
        <w:rPr>
          <w:rFonts w:ascii="Times New Roman" w:hAnsi="Times New Roman" w:cs="Times New Roman"/>
          <w:sz w:val="24"/>
          <w:szCs w:val="24"/>
        </w:rPr>
        <w:t>выделено</w:t>
      </w:r>
      <w:r w:rsidR="00D102BD" w:rsidRPr="00384B41">
        <w:rPr>
          <w:rFonts w:ascii="Times New Roman" w:hAnsi="Times New Roman" w:cs="Times New Roman"/>
          <w:sz w:val="24"/>
          <w:szCs w:val="24"/>
        </w:rPr>
        <w:t xml:space="preserve"> всего </w:t>
      </w:r>
      <w:r w:rsidR="004D1B39">
        <w:rPr>
          <w:rFonts w:ascii="Times New Roman" w:hAnsi="Times New Roman" w:cs="Times New Roman"/>
          <w:sz w:val="24"/>
          <w:szCs w:val="24"/>
        </w:rPr>
        <w:t>9 538</w:t>
      </w:r>
      <w:r w:rsidR="007947A4" w:rsidRPr="00384B41">
        <w:rPr>
          <w:rFonts w:ascii="Times New Roman" w:hAnsi="Times New Roman" w:cs="Times New Roman"/>
          <w:sz w:val="24"/>
          <w:szCs w:val="24"/>
        </w:rPr>
        <w:t> </w:t>
      </w:r>
      <w:r w:rsidR="004D1B39">
        <w:rPr>
          <w:rFonts w:ascii="Times New Roman" w:hAnsi="Times New Roman" w:cs="Times New Roman"/>
          <w:sz w:val="24"/>
          <w:szCs w:val="24"/>
        </w:rPr>
        <w:t>030</w:t>
      </w:r>
      <w:r w:rsidR="007947A4" w:rsidRPr="00384B41">
        <w:rPr>
          <w:rFonts w:ascii="Times New Roman" w:hAnsi="Times New Roman" w:cs="Times New Roman"/>
          <w:sz w:val="24"/>
          <w:szCs w:val="24"/>
        </w:rPr>
        <w:t>,</w:t>
      </w:r>
      <w:r w:rsidR="004D1B39">
        <w:rPr>
          <w:rFonts w:ascii="Times New Roman" w:hAnsi="Times New Roman" w:cs="Times New Roman"/>
          <w:sz w:val="24"/>
          <w:szCs w:val="24"/>
        </w:rPr>
        <w:t>6</w:t>
      </w:r>
      <w:r w:rsidR="00D102BD" w:rsidRPr="00384B41">
        <w:rPr>
          <w:rFonts w:ascii="Times New Roman" w:hAnsi="Times New Roman" w:cs="Times New Roman"/>
          <w:sz w:val="24"/>
          <w:szCs w:val="24"/>
        </w:rPr>
        <w:t xml:space="preserve"> тыс. рублей, исполнение состав</w:t>
      </w:r>
      <w:r w:rsidR="00FE000F" w:rsidRPr="00384B41">
        <w:rPr>
          <w:rFonts w:ascii="Times New Roman" w:hAnsi="Times New Roman" w:cs="Times New Roman"/>
          <w:sz w:val="24"/>
          <w:szCs w:val="24"/>
        </w:rPr>
        <w:t>и</w:t>
      </w:r>
      <w:r w:rsidR="00D102BD" w:rsidRPr="00384B41">
        <w:rPr>
          <w:rFonts w:ascii="Times New Roman" w:hAnsi="Times New Roman" w:cs="Times New Roman"/>
          <w:sz w:val="24"/>
          <w:szCs w:val="24"/>
        </w:rPr>
        <w:t>л</w:t>
      </w:r>
      <w:r w:rsidR="00FE000F" w:rsidRPr="00384B41">
        <w:rPr>
          <w:rFonts w:ascii="Times New Roman" w:hAnsi="Times New Roman" w:cs="Times New Roman"/>
          <w:sz w:val="24"/>
          <w:szCs w:val="24"/>
        </w:rPr>
        <w:t>о</w:t>
      </w:r>
      <w:r w:rsidR="00D102BD"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7947A4" w:rsidRPr="00384B41">
        <w:rPr>
          <w:rFonts w:ascii="Times New Roman" w:hAnsi="Times New Roman" w:cs="Times New Roman"/>
          <w:sz w:val="24"/>
          <w:szCs w:val="24"/>
        </w:rPr>
        <w:t>9</w:t>
      </w:r>
      <w:r w:rsidR="004D1B39">
        <w:rPr>
          <w:rFonts w:ascii="Times New Roman" w:hAnsi="Times New Roman" w:cs="Times New Roman"/>
          <w:sz w:val="24"/>
          <w:szCs w:val="24"/>
        </w:rPr>
        <w:t>9</w:t>
      </w:r>
      <w:r w:rsidR="007947A4" w:rsidRPr="00384B41">
        <w:rPr>
          <w:rFonts w:ascii="Times New Roman" w:hAnsi="Times New Roman" w:cs="Times New Roman"/>
          <w:sz w:val="24"/>
          <w:szCs w:val="24"/>
        </w:rPr>
        <w:t>,</w:t>
      </w:r>
      <w:r w:rsidR="004D1B39">
        <w:rPr>
          <w:rFonts w:ascii="Times New Roman" w:hAnsi="Times New Roman" w:cs="Times New Roman"/>
          <w:sz w:val="24"/>
          <w:szCs w:val="24"/>
        </w:rPr>
        <w:t>1</w:t>
      </w:r>
      <w:r w:rsidR="007947A4"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D102BD" w:rsidRPr="00384B41">
        <w:rPr>
          <w:rFonts w:ascii="Times New Roman" w:hAnsi="Times New Roman" w:cs="Times New Roman"/>
          <w:sz w:val="24"/>
          <w:szCs w:val="24"/>
        </w:rPr>
        <w:t>%, в том числе по источникам финансирования</w:t>
      </w:r>
      <w:r w:rsidR="00B13862" w:rsidRPr="00384B41">
        <w:rPr>
          <w:rFonts w:ascii="Times New Roman" w:hAnsi="Times New Roman" w:cs="Times New Roman"/>
          <w:sz w:val="24"/>
          <w:szCs w:val="24"/>
        </w:rPr>
        <w:t>:</w:t>
      </w:r>
    </w:p>
    <w:p w:rsidR="00B13862" w:rsidRPr="00384B41" w:rsidRDefault="00B13862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- </w:t>
      </w:r>
      <w:r w:rsidRPr="00384B41">
        <w:rPr>
          <w:rFonts w:ascii="Times New Roman" w:hAnsi="Times New Roman" w:cs="Times New Roman"/>
          <w:i/>
          <w:sz w:val="24"/>
          <w:szCs w:val="24"/>
        </w:rPr>
        <w:t>за счет средств федерального бюджета</w:t>
      </w:r>
      <w:r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7947A4" w:rsidRPr="00384B41">
        <w:rPr>
          <w:rFonts w:ascii="Times New Roman" w:hAnsi="Times New Roman" w:cs="Times New Roman"/>
          <w:sz w:val="24"/>
          <w:szCs w:val="24"/>
        </w:rPr>
        <w:t>6 063,1</w:t>
      </w:r>
      <w:r w:rsidRPr="00384B41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7947A4" w:rsidRPr="00384B41">
        <w:rPr>
          <w:rFonts w:ascii="Times New Roman" w:hAnsi="Times New Roman" w:cs="Times New Roman"/>
          <w:sz w:val="24"/>
          <w:szCs w:val="24"/>
        </w:rPr>
        <w:t>13,9</w:t>
      </w:r>
      <w:r w:rsidRPr="00384B41">
        <w:rPr>
          <w:rFonts w:ascii="Times New Roman" w:hAnsi="Times New Roman" w:cs="Times New Roman"/>
          <w:sz w:val="24"/>
          <w:szCs w:val="24"/>
        </w:rPr>
        <w:t xml:space="preserve"> % от запланированных средств, </w:t>
      </w:r>
      <w:r w:rsidR="00DF24BB" w:rsidRPr="00384B41">
        <w:rPr>
          <w:rFonts w:ascii="Times New Roman" w:hAnsi="Times New Roman" w:cs="Times New Roman"/>
          <w:sz w:val="24"/>
          <w:szCs w:val="24"/>
        </w:rPr>
        <w:t>предоставлен</w:t>
      </w:r>
      <w:r w:rsidR="007947A4" w:rsidRPr="00384B41">
        <w:rPr>
          <w:rFonts w:ascii="Times New Roman" w:hAnsi="Times New Roman" w:cs="Times New Roman"/>
          <w:sz w:val="24"/>
          <w:szCs w:val="24"/>
        </w:rPr>
        <w:t>ных как</w:t>
      </w:r>
      <w:r w:rsidR="00DF24BB" w:rsidRPr="00384B41">
        <w:rPr>
          <w:rFonts w:ascii="Times New Roman" w:hAnsi="Times New Roman" w:cs="Times New Roman"/>
          <w:sz w:val="24"/>
          <w:szCs w:val="24"/>
        </w:rPr>
        <w:t xml:space="preserve"> финансовая поддержка из средств Государственной корпорации - Фонда содействия реформированию жилищно-коммуналь</w:t>
      </w:r>
      <w:r w:rsidR="00D5069D" w:rsidRPr="00384B41">
        <w:rPr>
          <w:rFonts w:ascii="Times New Roman" w:hAnsi="Times New Roman" w:cs="Times New Roman"/>
          <w:sz w:val="24"/>
          <w:szCs w:val="24"/>
        </w:rPr>
        <w:t>ного хозяйства на реализацию региональной программы на проведение капитального ремонта многоквартирных домов;</w:t>
      </w:r>
    </w:p>
    <w:p w:rsidR="00D5069D" w:rsidRPr="00384B41" w:rsidRDefault="00D5069D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- </w:t>
      </w:r>
      <w:r w:rsidR="00B13862" w:rsidRPr="00384B41">
        <w:rPr>
          <w:rFonts w:ascii="Times New Roman" w:hAnsi="Times New Roman" w:cs="Times New Roman"/>
          <w:i/>
          <w:sz w:val="24"/>
          <w:szCs w:val="24"/>
        </w:rPr>
        <w:t>за счет средств бюджета автономного округа</w:t>
      </w:r>
      <w:r w:rsidR="00B13862"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7947A4" w:rsidRPr="00384B41">
        <w:rPr>
          <w:rFonts w:ascii="Times New Roman" w:hAnsi="Times New Roman" w:cs="Times New Roman"/>
          <w:sz w:val="24"/>
          <w:szCs w:val="24"/>
        </w:rPr>
        <w:t>3 729 476,5</w:t>
      </w:r>
      <w:r w:rsidR="002557C9" w:rsidRPr="00384B41">
        <w:rPr>
          <w:rFonts w:ascii="Times New Roman" w:hAnsi="Times New Roman" w:cs="Times New Roman"/>
          <w:sz w:val="24"/>
          <w:szCs w:val="24"/>
        </w:rPr>
        <w:t xml:space="preserve"> тыс. </w:t>
      </w:r>
      <w:r w:rsidRPr="00384B41">
        <w:rPr>
          <w:rFonts w:ascii="Times New Roman" w:hAnsi="Times New Roman" w:cs="Times New Roman"/>
          <w:sz w:val="24"/>
          <w:szCs w:val="24"/>
        </w:rPr>
        <w:t xml:space="preserve">рублей, исполнение </w:t>
      </w:r>
      <w:r w:rsidR="007947A4" w:rsidRPr="00384B41">
        <w:rPr>
          <w:rFonts w:ascii="Times New Roman" w:hAnsi="Times New Roman" w:cs="Times New Roman"/>
          <w:sz w:val="24"/>
          <w:szCs w:val="24"/>
        </w:rPr>
        <w:t>99,2</w:t>
      </w:r>
      <w:r w:rsidRPr="00384B41">
        <w:rPr>
          <w:rFonts w:ascii="Times New Roman" w:hAnsi="Times New Roman" w:cs="Times New Roman"/>
          <w:sz w:val="24"/>
          <w:szCs w:val="24"/>
        </w:rPr>
        <w:t xml:space="preserve"> %;</w:t>
      </w:r>
    </w:p>
    <w:p w:rsidR="00D5069D" w:rsidRPr="00384B41" w:rsidRDefault="00D5069D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- </w:t>
      </w:r>
      <w:r w:rsidRPr="00384B41">
        <w:rPr>
          <w:rFonts w:ascii="Times New Roman" w:hAnsi="Times New Roman" w:cs="Times New Roman"/>
          <w:i/>
          <w:sz w:val="24"/>
          <w:szCs w:val="24"/>
        </w:rPr>
        <w:t>за счет средств местного бюджета</w:t>
      </w:r>
      <w:r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7947A4" w:rsidRPr="00384B41">
        <w:rPr>
          <w:rFonts w:ascii="Times New Roman" w:hAnsi="Times New Roman" w:cs="Times New Roman"/>
          <w:sz w:val="24"/>
          <w:szCs w:val="24"/>
        </w:rPr>
        <w:t>477 891,7</w:t>
      </w:r>
      <w:r w:rsidRPr="00384B41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="007947A4" w:rsidRPr="00384B41">
        <w:rPr>
          <w:rFonts w:ascii="Times New Roman" w:hAnsi="Times New Roman" w:cs="Times New Roman"/>
          <w:sz w:val="24"/>
          <w:szCs w:val="24"/>
        </w:rPr>
        <w:t>перевыполнение 100,4</w:t>
      </w:r>
      <w:r w:rsidRPr="00384B41">
        <w:rPr>
          <w:rFonts w:ascii="Times New Roman" w:hAnsi="Times New Roman" w:cs="Times New Roman"/>
          <w:sz w:val="24"/>
          <w:szCs w:val="24"/>
        </w:rPr>
        <w:t xml:space="preserve"> % (в том числе привлеченные средства от хозяйствующих субъектов, осуществляющих деятельность на территории автономного округа </w:t>
      </w:r>
      <w:r w:rsidR="007947A4" w:rsidRPr="00384B41">
        <w:rPr>
          <w:rFonts w:ascii="Times New Roman" w:hAnsi="Times New Roman" w:cs="Times New Roman"/>
          <w:sz w:val="24"/>
          <w:szCs w:val="24"/>
        </w:rPr>
        <w:t>20 0</w:t>
      </w:r>
      <w:r w:rsidRPr="00384B41">
        <w:rPr>
          <w:rFonts w:ascii="Times New Roman" w:hAnsi="Times New Roman" w:cs="Times New Roman"/>
          <w:sz w:val="24"/>
          <w:szCs w:val="24"/>
        </w:rPr>
        <w:t>00,0 тыс. рублей, исполнение 100%);</w:t>
      </w:r>
    </w:p>
    <w:p w:rsidR="00D5069D" w:rsidRPr="00384B41" w:rsidRDefault="00D5069D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- </w:t>
      </w:r>
      <w:r w:rsidRPr="00384B41">
        <w:rPr>
          <w:rFonts w:ascii="Times New Roman" w:hAnsi="Times New Roman" w:cs="Times New Roman"/>
          <w:i/>
          <w:sz w:val="24"/>
          <w:szCs w:val="24"/>
        </w:rPr>
        <w:t xml:space="preserve">за счет </w:t>
      </w:r>
      <w:r w:rsidR="002557C9" w:rsidRPr="00384B41">
        <w:rPr>
          <w:rFonts w:ascii="Times New Roman" w:hAnsi="Times New Roman" w:cs="Times New Roman"/>
          <w:i/>
          <w:sz w:val="24"/>
          <w:szCs w:val="24"/>
        </w:rPr>
        <w:t xml:space="preserve">иных </w:t>
      </w:r>
      <w:r w:rsidRPr="00384B41">
        <w:rPr>
          <w:rFonts w:ascii="Times New Roman" w:hAnsi="Times New Roman" w:cs="Times New Roman"/>
          <w:i/>
          <w:sz w:val="24"/>
          <w:szCs w:val="24"/>
        </w:rPr>
        <w:t>внебюджетных источников</w:t>
      </w:r>
      <w:r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7947A4" w:rsidRPr="00384B41">
        <w:rPr>
          <w:rFonts w:ascii="Times New Roman" w:hAnsi="Times New Roman" w:cs="Times New Roman"/>
          <w:sz w:val="24"/>
          <w:szCs w:val="24"/>
        </w:rPr>
        <w:t>5 </w:t>
      </w:r>
      <w:r w:rsidR="004D1B39">
        <w:rPr>
          <w:rFonts w:ascii="Times New Roman" w:hAnsi="Times New Roman" w:cs="Times New Roman"/>
          <w:sz w:val="24"/>
          <w:szCs w:val="24"/>
        </w:rPr>
        <w:t>329 227,4</w:t>
      </w:r>
      <w:r w:rsidRPr="00384B41">
        <w:rPr>
          <w:rFonts w:ascii="Times New Roman" w:hAnsi="Times New Roman" w:cs="Times New Roman"/>
          <w:sz w:val="24"/>
          <w:szCs w:val="24"/>
        </w:rPr>
        <w:t xml:space="preserve"> тыс. рублей, исполнение </w:t>
      </w:r>
      <w:r w:rsidR="004D1B39">
        <w:rPr>
          <w:rFonts w:ascii="Times New Roman" w:hAnsi="Times New Roman" w:cs="Times New Roman"/>
          <w:sz w:val="24"/>
          <w:szCs w:val="24"/>
        </w:rPr>
        <w:t>99,8</w:t>
      </w:r>
      <w:r w:rsidRPr="00384B41"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CB59EE" w:rsidRPr="00384B41" w:rsidRDefault="00CB59EE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          В структуре финансирования мероприятий Государственной программы соблюдается 95</w:t>
      </w:r>
      <w:r w:rsidR="00D14D5B"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sz w:val="24"/>
          <w:szCs w:val="24"/>
        </w:rPr>
        <w:t>% и 5</w:t>
      </w:r>
      <w:r w:rsidR="00D14D5B"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sz w:val="24"/>
          <w:szCs w:val="24"/>
        </w:rPr>
        <w:t>%, 9</w:t>
      </w:r>
      <w:r w:rsidR="00D14D5B" w:rsidRPr="00384B41">
        <w:rPr>
          <w:rFonts w:ascii="Times New Roman" w:hAnsi="Times New Roman" w:cs="Times New Roman"/>
          <w:sz w:val="24"/>
          <w:szCs w:val="24"/>
        </w:rPr>
        <w:t xml:space="preserve">9 </w:t>
      </w:r>
      <w:r w:rsidRPr="00384B41">
        <w:rPr>
          <w:rFonts w:ascii="Times New Roman" w:hAnsi="Times New Roman" w:cs="Times New Roman"/>
          <w:sz w:val="24"/>
          <w:szCs w:val="24"/>
        </w:rPr>
        <w:t>% и 1</w:t>
      </w:r>
      <w:r w:rsidR="00D14D5B"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sz w:val="24"/>
          <w:szCs w:val="24"/>
        </w:rPr>
        <w:t>%, 60</w:t>
      </w:r>
      <w:r w:rsidR="00D14D5B"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sz w:val="24"/>
          <w:szCs w:val="24"/>
        </w:rPr>
        <w:t>% и 40</w:t>
      </w:r>
      <w:r w:rsidR="00D14D5B"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sz w:val="24"/>
          <w:szCs w:val="24"/>
        </w:rPr>
        <w:t>% уровень софинансирования из бюджета автономного округа и местных бюджетов муниципальный</w:t>
      </w:r>
      <w:r w:rsidR="00D14D5B" w:rsidRPr="00384B41">
        <w:rPr>
          <w:rFonts w:ascii="Times New Roman" w:hAnsi="Times New Roman" w:cs="Times New Roman"/>
          <w:sz w:val="24"/>
          <w:szCs w:val="24"/>
        </w:rPr>
        <w:t xml:space="preserve"> образований автономного округа.</w:t>
      </w:r>
    </w:p>
    <w:p w:rsidR="00D102BD" w:rsidRPr="00384B41" w:rsidRDefault="00FE000F" w:rsidP="00384B41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Диаграмма 1</w:t>
      </w:r>
      <w:r w:rsidR="00D102BD" w:rsidRPr="00384B41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70368D" w:rsidRPr="00384B41" w:rsidRDefault="00BA248A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68720" cy="2018995"/>
            <wp:effectExtent l="0" t="0" r="17780" b="63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C25EE" w:rsidRPr="00384B41" w:rsidRDefault="0008195A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17723" w:rsidRPr="00384B41">
        <w:rPr>
          <w:rFonts w:ascii="Times New Roman" w:hAnsi="Times New Roman" w:cs="Times New Roman"/>
          <w:sz w:val="24"/>
          <w:szCs w:val="24"/>
        </w:rPr>
        <w:t>Ди</w:t>
      </w:r>
      <w:r w:rsidR="00073771" w:rsidRPr="00384B41">
        <w:rPr>
          <w:rFonts w:ascii="Times New Roman" w:hAnsi="Times New Roman" w:cs="Times New Roman"/>
          <w:sz w:val="24"/>
          <w:szCs w:val="24"/>
        </w:rPr>
        <w:t>аграмма показывает, что</w:t>
      </w:r>
      <w:r w:rsidR="00417723" w:rsidRPr="00384B41">
        <w:rPr>
          <w:rFonts w:ascii="Times New Roman" w:hAnsi="Times New Roman" w:cs="Times New Roman"/>
          <w:sz w:val="24"/>
          <w:szCs w:val="24"/>
        </w:rPr>
        <w:t xml:space="preserve"> объем средств</w:t>
      </w:r>
      <w:r w:rsidR="00FE000F"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073771" w:rsidRPr="00384B41">
        <w:rPr>
          <w:rFonts w:ascii="Times New Roman" w:hAnsi="Times New Roman" w:cs="Times New Roman"/>
          <w:sz w:val="24"/>
          <w:szCs w:val="24"/>
        </w:rPr>
        <w:t xml:space="preserve">31,5 </w:t>
      </w:r>
      <w:r w:rsidR="00FE000F" w:rsidRPr="00384B41">
        <w:rPr>
          <w:rFonts w:ascii="Times New Roman" w:hAnsi="Times New Roman" w:cs="Times New Roman"/>
          <w:sz w:val="24"/>
          <w:szCs w:val="24"/>
        </w:rPr>
        <w:t>%</w:t>
      </w:r>
      <w:r w:rsidR="00417723" w:rsidRPr="00384B41">
        <w:rPr>
          <w:rFonts w:ascii="Times New Roman" w:hAnsi="Times New Roman" w:cs="Times New Roman"/>
          <w:sz w:val="24"/>
          <w:szCs w:val="24"/>
        </w:rPr>
        <w:t xml:space="preserve"> направлен на вложения в реконструкцию, расширение, модернизацию и строительство </w:t>
      </w:r>
      <w:r w:rsidR="00B516DE" w:rsidRPr="00384B41">
        <w:rPr>
          <w:rFonts w:ascii="Times New Roman" w:hAnsi="Times New Roman" w:cs="Times New Roman"/>
          <w:sz w:val="24"/>
          <w:szCs w:val="24"/>
        </w:rPr>
        <w:t>14</w:t>
      </w:r>
      <w:r w:rsidR="003C25EE"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417723" w:rsidRPr="00384B41">
        <w:rPr>
          <w:rFonts w:ascii="Times New Roman" w:hAnsi="Times New Roman" w:cs="Times New Roman"/>
          <w:sz w:val="24"/>
          <w:szCs w:val="24"/>
        </w:rPr>
        <w:t>объектов</w:t>
      </w:r>
      <w:r w:rsidR="003C25EE" w:rsidRPr="00384B41">
        <w:rPr>
          <w:rFonts w:ascii="Times New Roman" w:hAnsi="Times New Roman" w:cs="Times New Roman"/>
          <w:sz w:val="24"/>
          <w:szCs w:val="24"/>
        </w:rPr>
        <w:t xml:space="preserve"> водоснабжения, водоотведения, теплоснабжения, газоснабжения в 1</w:t>
      </w:r>
      <w:r w:rsidR="00B516DE" w:rsidRPr="00384B41">
        <w:rPr>
          <w:rFonts w:ascii="Times New Roman" w:hAnsi="Times New Roman" w:cs="Times New Roman"/>
          <w:sz w:val="24"/>
          <w:szCs w:val="24"/>
        </w:rPr>
        <w:t>0</w:t>
      </w:r>
      <w:r w:rsidR="003C25EE" w:rsidRPr="00384B41">
        <w:rPr>
          <w:rFonts w:ascii="Times New Roman" w:hAnsi="Times New Roman" w:cs="Times New Roman"/>
          <w:sz w:val="24"/>
          <w:szCs w:val="24"/>
        </w:rPr>
        <w:t xml:space="preserve"> муниципальных образованиях автономного </w:t>
      </w:r>
      <w:r w:rsidR="003C25EE" w:rsidRPr="00384B41">
        <w:rPr>
          <w:rFonts w:ascii="Times New Roman" w:hAnsi="Times New Roman" w:cs="Times New Roman"/>
          <w:sz w:val="24"/>
          <w:szCs w:val="24"/>
        </w:rPr>
        <w:lastRenderedPageBreak/>
        <w:t xml:space="preserve">округа, в том числе начато </w:t>
      </w:r>
      <w:r w:rsidR="00B516DE" w:rsidRPr="00384B41">
        <w:rPr>
          <w:rFonts w:ascii="Times New Roman" w:hAnsi="Times New Roman" w:cs="Times New Roman"/>
          <w:sz w:val="24"/>
          <w:szCs w:val="24"/>
        </w:rPr>
        <w:t>проектирование</w:t>
      </w:r>
      <w:r w:rsidR="003C25EE"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B516DE" w:rsidRPr="00384B41">
        <w:rPr>
          <w:rFonts w:ascii="Times New Roman" w:hAnsi="Times New Roman" w:cs="Times New Roman"/>
          <w:sz w:val="24"/>
          <w:szCs w:val="24"/>
        </w:rPr>
        <w:t>1</w:t>
      </w:r>
      <w:r w:rsidR="003C25EE" w:rsidRPr="00384B41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B516DE" w:rsidRPr="00384B41">
        <w:rPr>
          <w:rFonts w:ascii="Times New Roman" w:hAnsi="Times New Roman" w:cs="Times New Roman"/>
          <w:sz w:val="24"/>
          <w:szCs w:val="24"/>
        </w:rPr>
        <w:t>а водоснабжения</w:t>
      </w:r>
      <w:r w:rsidR="003C25EE" w:rsidRPr="00384B41">
        <w:rPr>
          <w:rFonts w:ascii="Times New Roman" w:hAnsi="Times New Roman" w:cs="Times New Roman"/>
          <w:sz w:val="24"/>
          <w:szCs w:val="24"/>
        </w:rPr>
        <w:t xml:space="preserve"> и завершено строительство </w:t>
      </w:r>
      <w:r w:rsidR="00B516DE" w:rsidRPr="00384B41">
        <w:rPr>
          <w:rFonts w:ascii="Times New Roman" w:hAnsi="Times New Roman" w:cs="Times New Roman"/>
          <w:sz w:val="24"/>
          <w:szCs w:val="24"/>
        </w:rPr>
        <w:t>9</w:t>
      </w:r>
      <w:r w:rsidR="003C25EE" w:rsidRPr="00384B41">
        <w:rPr>
          <w:rFonts w:ascii="Times New Roman" w:hAnsi="Times New Roman" w:cs="Times New Roman"/>
          <w:sz w:val="24"/>
          <w:szCs w:val="24"/>
        </w:rPr>
        <w:t xml:space="preserve"> объектов.</w:t>
      </w:r>
      <w:r w:rsidR="00FE000F"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073771" w:rsidRPr="00384B41">
        <w:rPr>
          <w:rFonts w:ascii="Times New Roman" w:hAnsi="Times New Roman" w:cs="Times New Roman"/>
          <w:sz w:val="24"/>
          <w:szCs w:val="24"/>
        </w:rPr>
        <w:t>5</w:t>
      </w:r>
      <w:r w:rsidR="003C25EE" w:rsidRPr="00384B41">
        <w:rPr>
          <w:rFonts w:ascii="Times New Roman" w:hAnsi="Times New Roman" w:cs="Times New Roman"/>
          <w:sz w:val="24"/>
          <w:szCs w:val="24"/>
        </w:rPr>
        <w:t>5</w:t>
      </w:r>
      <w:r w:rsidR="00073771" w:rsidRPr="00384B41">
        <w:rPr>
          <w:rFonts w:ascii="Times New Roman" w:hAnsi="Times New Roman" w:cs="Times New Roman"/>
          <w:sz w:val="24"/>
          <w:szCs w:val="24"/>
        </w:rPr>
        <w:t>,0</w:t>
      </w:r>
      <w:r w:rsidR="003C25EE" w:rsidRPr="00384B41">
        <w:rPr>
          <w:rFonts w:ascii="Times New Roman" w:hAnsi="Times New Roman" w:cs="Times New Roman"/>
          <w:sz w:val="24"/>
          <w:szCs w:val="24"/>
        </w:rPr>
        <w:t xml:space="preserve"> % средств было направлено в муниципальные образ</w:t>
      </w:r>
      <w:r w:rsidR="00F4108C" w:rsidRPr="00384B41">
        <w:rPr>
          <w:rFonts w:ascii="Times New Roman" w:hAnsi="Times New Roman" w:cs="Times New Roman"/>
          <w:sz w:val="24"/>
          <w:szCs w:val="24"/>
        </w:rPr>
        <w:t>ования на: капитальный ремонт (</w:t>
      </w:r>
      <w:r w:rsidR="003C25EE" w:rsidRPr="00384B41">
        <w:rPr>
          <w:rFonts w:ascii="Times New Roman" w:hAnsi="Times New Roman" w:cs="Times New Roman"/>
          <w:sz w:val="24"/>
          <w:szCs w:val="24"/>
        </w:rPr>
        <w:t>с заменой) газопроводов, систем теплоснабжения, водоснабжения и водоотведения для подготовки к осенне</w:t>
      </w:r>
      <w:r w:rsidR="00FE000F" w:rsidRPr="00384B41">
        <w:rPr>
          <w:rFonts w:ascii="Times New Roman" w:hAnsi="Times New Roman" w:cs="Times New Roman"/>
          <w:sz w:val="24"/>
          <w:szCs w:val="24"/>
        </w:rPr>
        <w:t>-</w:t>
      </w:r>
      <w:r w:rsidR="003C25EE" w:rsidRPr="00384B41">
        <w:rPr>
          <w:rFonts w:ascii="Times New Roman" w:hAnsi="Times New Roman" w:cs="Times New Roman"/>
          <w:sz w:val="24"/>
          <w:szCs w:val="24"/>
        </w:rPr>
        <w:t>зимнему периоду, в том числе с применением композитных материалов; оказание поддержки местным бюджетам в возмещении части затрат на оплату за энергоресурсы; софинансирование расходов муниципальных образований на разработку схем водоснабжения и водоотведения автономного округа.</w:t>
      </w:r>
      <w:r w:rsidR="00FE000F"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073771" w:rsidRPr="00384B41">
        <w:rPr>
          <w:rFonts w:ascii="Times New Roman" w:hAnsi="Times New Roman" w:cs="Times New Roman"/>
          <w:sz w:val="24"/>
          <w:szCs w:val="24"/>
        </w:rPr>
        <w:t xml:space="preserve">13,4 </w:t>
      </w:r>
      <w:r w:rsidR="00FE000F" w:rsidRPr="00384B41">
        <w:rPr>
          <w:rFonts w:ascii="Times New Roman" w:hAnsi="Times New Roman" w:cs="Times New Roman"/>
          <w:sz w:val="24"/>
          <w:szCs w:val="24"/>
        </w:rPr>
        <w:t>% средств было направлено на научные, исследовательские и технологические разработки</w:t>
      </w:r>
      <w:r w:rsidR="00073771" w:rsidRPr="00384B41">
        <w:rPr>
          <w:rFonts w:ascii="Times New Roman" w:hAnsi="Times New Roman" w:cs="Times New Roman"/>
          <w:sz w:val="24"/>
          <w:szCs w:val="24"/>
        </w:rPr>
        <w:t xml:space="preserve">, </w:t>
      </w:r>
      <w:r w:rsidR="00FE000F" w:rsidRPr="00384B41">
        <w:rPr>
          <w:rFonts w:ascii="Times New Roman" w:hAnsi="Times New Roman" w:cs="Times New Roman"/>
          <w:sz w:val="24"/>
          <w:szCs w:val="24"/>
        </w:rPr>
        <w:t>закуплен</w:t>
      </w:r>
      <w:r w:rsidR="00073771" w:rsidRPr="00384B41">
        <w:rPr>
          <w:rFonts w:ascii="Times New Roman" w:hAnsi="Times New Roman" w:cs="Times New Roman"/>
          <w:sz w:val="24"/>
          <w:szCs w:val="24"/>
        </w:rPr>
        <w:t>а</w:t>
      </w:r>
      <w:r w:rsidR="00FE000F"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073771" w:rsidRPr="00384B41">
        <w:rPr>
          <w:rFonts w:ascii="Times New Roman" w:hAnsi="Times New Roman" w:cs="Times New Roman"/>
          <w:sz w:val="24"/>
          <w:szCs w:val="24"/>
        </w:rPr>
        <w:t>дизель-генераторная</w:t>
      </w:r>
      <w:r w:rsidR="00FE000F" w:rsidRPr="00384B41">
        <w:rPr>
          <w:rFonts w:ascii="Times New Roman" w:hAnsi="Times New Roman" w:cs="Times New Roman"/>
          <w:sz w:val="24"/>
          <w:szCs w:val="24"/>
        </w:rPr>
        <w:t xml:space="preserve"> установк</w:t>
      </w:r>
      <w:r w:rsidR="00073771" w:rsidRPr="00384B41">
        <w:rPr>
          <w:rFonts w:ascii="Times New Roman" w:hAnsi="Times New Roman" w:cs="Times New Roman"/>
          <w:sz w:val="24"/>
          <w:szCs w:val="24"/>
        </w:rPr>
        <w:t>а</w:t>
      </w:r>
      <w:r w:rsidR="00FE000F" w:rsidRPr="00384B41">
        <w:rPr>
          <w:rFonts w:ascii="Times New Roman" w:hAnsi="Times New Roman" w:cs="Times New Roman"/>
          <w:sz w:val="24"/>
          <w:szCs w:val="24"/>
        </w:rPr>
        <w:t xml:space="preserve">, обеспечено хранение и содержание </w:t>
      </w:r>
      <w:r w:rsidR="00E02D68" w:rsidRPr="00384B41">
        <w:rPr>
          <w:rFonts w:ascii="Times New Roman" w:hAnsi="Times New Roman" w:cs="Times New Roman"/>
          <w:sz w:val="24"/>
          <w:szCs w:val="24"/>
        </w:rPr>
        <w:t>резервов материальных ресурсов, направлено на обеспечение деятельности Департамента и на другие цели.</w:t>
      </w:r>
    </w:p>
    <w:p w:rsidR="003C25EE" w:rsidRPr="00384B41" w:rsidRDefault="003C25EE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367D6" w:rsidRPr="00384B41" w:rsidRDefault="003367D6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4B41">
        <w:rPr>
          <w:rFonts w:ascii="Times New Roman" w:hAnsi="Times New Roman" w:cs="Times New Roman"/>
          <w:b/>
          <w:i/>
          <w:sz w:val="24"/>
          <w:szCs w:val="24"/>
        </w:rPr>
        <w:t xml:space="preserve">3. Результаты </w:t>
      </w:r>
      <w:proofErr w:type="gramStart"/>
      <w:r w:rsidRPr="00384B41">
        <w:rPr>
          <w:rFonts w:ascii="Times New Roman" w:hAnsi="Times New Roman" w:cs="Times New Roman"/>
          <w:b/>
          <w:i/>
          <w:sz w:val="24"/>
          <w:szCs w:val="24"/>
        </w:rPr>
        <w:t>реализации  государственной</w:t>
      </w:r>
      <w:proofErr w:type="gramEnd"/>
      <w:r w:rsidRPr="00384B41">
        <w:rPr>
          <w:rFonts w:ascii="Times New Roman" w:hAnsi="Times New Roman" w:cs="Times New Roman"/>
          <w:b/>
          <w:i/>
          <w:sz w:val="24"/>
          <w:szCs w:val="24"/>
        </w:rPr>
        <w:t xml:space="preserve"> программы (выполнение программных  мероприятий, достижение ключевых показателей). Решение задач и достижение целей.</w:t>
      </w:r>
    </w:p>
    <w:p w:rsidR="003367D6" w:rsidRPr="00384B41" w:rsidRDefault="003367D6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ED55D2" w:rsidRPr="00384B41" w:rsidRDefault="00ED55D2" w:rsidP="00487840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Целями реализации Государственной программы являются: повышение надежности и качества предоставления жилищно-коммунальных услуг; обеспечение потребителей электрической энергии надежным и качественным электроснабжением; </w:t>
      </w:r>
      <w:proofErr w:type="gramStart"/>
      <w:r w:rsidRPr="00384B41">
        <w:rPr>
          <w:rFonts w:ascii="Times New Roman" w:hAnsi="Times New Roman" w:cs="Times New Roman"/>
          <w:sz w:val="24"/>
          <w:szCs w:val="24"/>
        </w:rPr>
        <w:t>повышение  эффективности</w:t>
      </w:r>
      <w:proofErr w:type="gramEnd"/>
      <w:r w:rsidRPr="00384B41">
        <w:rPr>
          <w:rFonts w:ascii="Times New Roman" w:hAnsi="Times New Roman" w:cs="Times New Roman"/>
          <w:sz w:val="24"/>
          <w:szCs w:val="24"/>
        </w:rPr>
        <w:t xml:space="preserve"> использования топливно-энергетических ресурсов; реализация единой государственной политики и нормативно-правового регулирования в жилищно-коммунальном комплексе и энергетике. Достижение целей Государственной программы определяется целевыми значениями показателей Государственной программы. Перечень показателей и предварительные данные по фактическому достижению показателей за 2015 год представлены в Приложении 3.</w:t>
      </w:r>
    </w:p>
    <w:p w:rsidR="008A38B5" w:rsidRPr="00384B41" w:rsidRDefault="00ED55D2" w:rsidP="00384B41">
      <w:pPr>
        <w:widowControl w:val="0"/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По итогам за 2015 год исполнение плановых значений целевых показателей Государственной программы по предварительным данным составило 100 %.</w:t>
      </w:r>
    </w:p>
    <w:p w:rsidR="00314766" w:rsidRDefault="00ED55D2" w:rsidP="00384B41">
      <w:pPr>
        <w:widowControl w:val="0"/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В 201</w:t>
      </w:r>
      <w:r w:rsidR="008A38B5" w:rsidRPr="00384B41">
        <w:rPr>
          <w:rFonts w:ascii="Times New Roman" w:hAnsi="Times New Roman" w:cs="Times New Roman"/>
          <w:sz w:val="24"/>
          <w:szCs w:val="24"/>
        </w:rPr>
        <w:t>5</w:t>
      </w:r>
      <w:r w:rsidRPr="00384B41">
        <w:rPr>
          <w:rFonts w:ascii="Times New Roman" w:hAnsi="Times New Roman" w:cs="Times New Roman"/>
          <w:sz w:val="24"/>
          <w:szCs w:val="24"/>
        </w:rPr>
        <w:t xml:space="preserve"> году особое внимание уделялось на реализацию мероприятий, направленных на реконструкцию, модернизацию, строительство объектов коммунального комплекса. </w:t>
      </w:r>
      <w:r w:rsidR="00B96869">
        <w:rPr>
          <w:rFonts w:ascii="Times New Roman" w:hAnsi="Times New Roman" w:cs="Times New Roman"/>
          <w:sz w:val="24"/>
          <w:szCs w:val="24"/>
        </w:rPr>
        <w:t>Выделены</w:t>
      </w:r>
      <w:r w:rsidRPr="00384B41">
        <w:rPr>
          <w:rFonts w:ascii="Times New Roman" w:hAnsi="Times New Roman" w:cs="Times New Roman"/>
          <w:sz w:val="24"/>
          <w:szCs w:val="24"/>
        </w:rPr>
        <w:t xml:space="preserve"> дополнительные средства на предоставление субсидии бюджетам муниципальных образований автономного округа на капитальный ремонт (с заменой) газопроводов, </w:t>
      </w:r>
      <w:proofErr w:type="gramStart"/>
      <w:r w:rsidRPr="00384B41">
        <w:rPr>
          <w:rFonts w:ascii="Times New Roman" w:hAnsi="Times New Roman" w:cs="Times New Roman"/>
          <w:sz w:val="24"/>
          <w:szCs w:val="24"/>
        </w:rPr>
        <w:t>систем  теплоснабжения</w:t>
      </w:r>
      <w:proofErr w:type="gramEnd"/>
      <w:r w:rsidRPr="00384B41">
        <w:rPr>
          <w:rFonts w:ascii="Times New Roman" w:hAnsi="Times New Roman" w:cs="Times New Roman"/>
          <w:sz w:val="24"/>
          <w:szCs w:val="24"/>
        </w:rPr>
        <w:t xml:space="preserve">, водоснабжения и водоотведения для подготовки к осенне-зимнему периоду. В результате реализации данных мероприятий общая протяженность сетей, на которых проведен капитальный ремонт составила </w:t>
      </w:r>
      <w:r w:rsidR="008A38B5" w:rsidRPr="00384B41">
        <w:rPr>
          <w:rFonts w:ascii="Times New Roman" w:hAnsi="Times New Roman" w:cs="Times New Roman"/>
          <w:sz w:val="24"/>
          <w:szCs w:val="24"/>
        </w:rPr>
        <w:t>84 169 метра, отремонтировано 36</w:t>
      </w:r>
      <w:r w:rsidRPr="00384B41">
        <w:rPr>
          <w:rFonts w:ascii="Times New Roman" w:hAnsi="Times New Roman" w:cs="Times New Roman"/>
          <w:sz w:val="24"/>
          <w:szCs w:val="24"/>
        </w:rPr>
        <w:t xml:space="preserve"> единица котлового и прочего оборудования</w:t>
      </w:r>
      <w:r w:rsidR="008A38B5" w:rsidRPr="00384B41">
        <w:rPr>
          <w:rFonts w:ascii="Times New Roman" w:hAnsi="Times New Roman" w:cs="Times New Roman"/>
          <w:sz w:val="24"/>
          <w:szCs w:val="24"/>
        </w:rPr>
        <w:t>,</w:t>
      </w:r>
      <w:r w:rsidRPr="00384B41">
        <w:rPr>
          <w:rFonts w:ascii="Times New Roman" w:hAnsi="Times New Roman" w:cs="Times New Roman"/>
          <w:sz w:val="24"/>
          <w:szCs w:val="24"/>
        </w:rPr>
        <w:t xml:space="preserve"> осуществлена реконструкция, расширение, модернизация и строительство 14 объектов водоснабжения, водоотведения, теплоснабжения, газоснабжения в 10 муниципальных образованиях автономного округа, в том числе начато проектирование 1 объекта водоснабжения и завершено строительство 9 объектов.</w:t>
      </w:r>
      <w:r w:rsidR="003147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A38B5" w:rsidRPr="00384B41" w:rsidRDefault="00314766" w:rsidP="00384B41">
      <w:pPr>
        <w:widowControl w:val="0"/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результатам исполнения мероприятия по предоставлению субсидии на капитальный ремонт (с заменой) газопроводов, систем теплоснабжения, водоснабжения и водоотведения для подготовки к осенне-зимнему периоду позволило пройти отопительный период 2015-2016 г.г. без технологических отказов и нарушения сбоев в предоставлении жилищно-коммунальных услуг населению автономного округа. </w:t>
      </w:r>
    </w:p>
    <w:p w:rsidR="00ED55D2" w:rsidRDefault="00ED55D2" w:rsidP="00384B41">
      <w:pPr>
        <w:widowControl w:val="0"/>
        <w:autoSpaceDE w:val="0"/>
        <w:autoSpaceDN w:val="0"/>
        <w:adjustRightInd w:val="0"/>
        <w:spacing w:after="0"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Уровень газификации городов Югры – 100%, что превышает среднероссийский показатель на 29,7%, при этом уровень газификации сельских населенных пунктов ежегодно увеличивается. По итогам 201</w:t>
      </w:r>
      <w:r w:rsidR="00860D99" w:rsidRPr="00384B41">
        <w:rPr>
          <w:rFonts w:ascii="Times New Roman" w:hAnsi="Times New Roman" w:cs="Times New Roman"/>
          <w:sz w:val="24"/>
          <w:szCs w:val="24"/>
        </w:rPr>
        <w:t>5</w:t>
      </w:r>
      <w:r w:rsidRPr="00384B41">
        <w:rPr>
          <w:rFonts w:ascii="Times New Roman" w:hAnsi="Times New Roman" w:cs="Times New Roman"/>
          <w:sz w:val="24"/>
          <w:szCs w:val="24"/>
        </w:rPr>
        <w:t xml:space="preserve"> года данный показатель составил 4</w:t>
      </w:r>
      <w:r w:rsidR="00860D99" w:rsidRPr="00384B41">
        <w:rPr>
          <w:rFonts w:ascii="Times New Roman" w:hAnsi="Times New Roman" w:cs="Times New Roman"/>
          <w:sz w:val="24"/>
          <w:szCs w:val="24"/>
        </w:rPr>
        <w:t xml:space="preserve">4,2 </w:t>
      </w:r>
      <w:r w:rsidRPr="00384B41">
        <w:rPr>
          <w:rFonts w:ascii="Times New Roman" w:hAnsi="Times New Roman" w:cs="Times New Roman"/>
          <w:sz w:val="24"/>
          <w:szCs w:val="24"/>
        </w:rPr>
        <w:t xml:space="preserve">%, что соответствует среднероссийским показателям. Распоряжением Правительства автономного округа от 30 апреля 2014 года № 201-рп «Об утверждении Генеральной схемы газоснабжения и газификации Ханты-Мансийского </w:t>
      </w:r>
      <w:r w:rsidRPr="00384B41">
        <w:rPr>
          <w:rFonts w:ascii="Times New Roman" w:hAnsi="Times New Roman" w:cs="Times New Roman"/>
          <w:sz w:val="24"/>
          <w:szCs w:val="24"/>
        </w:rPr>
        <w:lastRenderedPageBreak/>
        <w:t>автономного округа – Югры» утверждена актуализированная Генеральная схема газоснабжения и газификации Югры, предусматривающая газификацию 73 населенных пунктов автономного округа</w:t>
      </w:r>
      <w:r w:rsidR="00860D99" w:rsidRPr="00384B41">
        <w:rPr>
          <w:rFonts w:ascii="Times New Roman" w:hAnsi="Times New Roman" w:cs="Times New Roman"/>
          <w:sz w:val="24"/>
          <w:szCs w:val="24"/>
        </w:rPr>
        <w:t xml:space="preserve"> в перспективе до 2030 года. </w:t>
      </w:r>
    </w:p>
    <w:p w:rsidR="00314766" w:rsidRPr="00314766" w:rsidRDefault="00314766" w:rsidP="00314766">
      <w:pPr>
        <w:spacing w:after="0"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14766">
        <w:rPr>
          <w:rFonts w:ascii="Times New Roman" w:hAnsi="Times New Roman" w:cs="Times New Roman"/>
          <w:sz w:val="24"/>
          <w:szCs w:val="24"/>
        </w:rPr>
        <w:t>По итогам 2015 года общая оснащенность жилого фонда на территории автономного округа общедомовыми приборами учета энергоресурсов – 99,6 %, индивидуальными – 96,7 %. Оснащенность общедомовыми приборами учета по отношению к 1 января 2015 года увеличилась на 4,3 % индивидуальными – на 2,1 %. В 2015 собственниками жилья было установлено свыше 77,5 тысячи приборов учета.</w:t>
      </w:r>
    </w:p>
    <w:p w:rsidR="00314766" w:rsidRPr="00314766" w:rsidRDefault="00314766" w:rsidP="00314766">
      <w:pPr>
        <w:spacing w:after="0"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14766">
        <w:rPr>
          <w:rFonts w:ascii="Times New Roman" w:hAnsi="Times New Roman" w:cs="Times New Roman"/>
          <w:sz w:val="24"/>
          <w:szCs w:val="24"/>
        </w:rPr>
        <w:t>В 2015 году предоставлена субсидия на приобретение и установку приборов учета энергоресурсов 121 гражданам на общую сумму 292,6 тыс. рублей (установлены: индивидуальные приборы учета холодной и горячей воды - 109 шт., общедомовые – 120 шт.).</w:t>
      </w:r>
    </w:p>
    <w:p w:rsidR="00314766" w:rsidRPr="00314766" w:rsidRDefault="00314766" w:rsidP="00314766">
      <w:pPr>
        <w:spacing w:after="0"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14766">
        <w:rPr>
          <w:rFonts w:ascii="Times New Roman" w:hAnsi="Times New Roman" w:cs="Times New Roman"/>
          <w:sz w:val="24"/>
          <w:szCs w:val="24"/>
        </w:rPr>
        <w:t xml:space="preserve">На 1 января 2016 года оснащение приборами учета бюджетных организаций автономного округа по всем видам ресурсов составляет 100% было установлено более 10 тыс. приборов учета. </w:t>
      </w:r>
    </w:p>
    <w:p w:rsidR="00314766" w:rsidRPr="00314766" w:rsidRDefault="00314766" w:rsidP="00314766">
      <w:pPr>
        <w:spacing w:after="0" w:line="276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314766">
        <w:rPr>
          <w:rFonts w:ascii="Times New Roman" w:hAnsi="Times New Roman" w:cs="Times New Roman"/>
          <w:sz w:val="24"/>
          <w:szCs w:val="24"/>
        </w:rPr>
        <w:t>По результатам предварительного анализа показателей в бюджетной сфере определено, что общая экономия энергетических ресурсов за 2015 годы составила 3 %, а в жилищной сфере 1,5 % в сопоставление с базовым периодом 2013 года.</w:t>
      </w:r>
    </w:p>
    <w:p w:rsidR="00ED55D2" w:rsidRPr="00384B41" w:rsidRDefault="00ED55D2" w:rsidP="00384B41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Доля населенных пунктов автономного округа, обеспеченных централизованным электроснабжением</w:t>
      </w:r>
      <w:r w:rsidR="00860D99" w:rsidRPr="00384B41">
        <w:rPr>
          <w:rFonts w:ascii="Times New Roman" w:hAnsi="Times New Roman" w:cs="Times New Roman"/>
          <w:sz w:val="24"/>
          <w:szCs w:val="24"/>
        </w:rPr>
        <w:t xml:space="preserve"> достигла по итогам 201</w:t>
      </w:r>
      <w:r w:rsidR="00495CF9">
        <w:rPr>
          <w:rFonts w:ascii="Times New Roman" w:hAnsi="Times New Roman" w:cs="Times New Roman"/>
          <w:sz w:val="24"/>
          <w:szCs w:val="24"/>
        </w:rPr>
        <w:t>5</w:t>
      </w:r>
      <w:r w:rsidR="00860D99" w:rsidRPr="00384B41">
        <w:rPr>
          <w:rFonts w:ascii="Times New Roman" w:hAnsi="Times New Roman" w:cs="Times New Roman"/>
          <w:sz w:val="24"/>
          <w:szCs w:val="24"/>
        </w:rPr>
        <w:t xml:space="preserve"> года 76,5 </w:t>
      </w:r>
      <w:r w:rsidRPr="00384B41">
        <w:rPr>
          <w:rFonts w:ascii="Times New Roman" w:hAnsi="Times New Roman" w:cs="Times New Roman"/>
          <w:sz w:val="24"/>
          <w:szCs w:val="24"/>
        </w:rPr>
        <w:t xml:space="preserve">% от общего количества населенных пунктов автономного округа, что соответствует плановому значению данного показателя. </w:t>
      </w:r>
    </w:p>
    <w:p w:rsidR="00ED55D2" w:rsidRPr="00384B41" w:rsidRDefault="00ED55D2" w:rsidP="00384B41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Средний срок подключения энергопринимающих устройств потребителей (до 150 кВт) к энергетическим сетям в 201</w:t>
      </w:r>
      <w:r w:rsidR="00860D99" w:rsidRPr="00384B41">
        <w:rPr>
          <w:rFonts w:ascii="Times New Roman" w:hAnsi="Times New Roman" w:cs="Times New Roman"/>
          <w:sz w:val="24"/>
          <w:szCs w:val="24"/>
        </w:rPr>
        <w:t>5</w:t>
      </w:r>
      <w:r w:rsidRPr="00384B41">
        <w:rPr>
          <w:rFonts w:ascii="Times New Roman" w:hAnsi="Times New Roman" w:cs="Times New Roman"/>
          <w:sz w:val="24"/>
          <w:szCs w:val="24"/>
        </w:rPr>
        <w:t xml:space="preserve"> году составил </w:t>
      </w:r>
      <w:r w:rsidR="00860D99" w:rsidRPr="00384B41">
        <w:rPr>
          <w:rFonts w:ascii="Times New Roman" w:hAnsi="Times New Roman" w:cs="Times New Roman"/>
          <w:sz w:val="24"/>
          <w:szCs w:val="24"/>
        </w:rPr>
        <w:t>35 дней</w:t>
      </w:r>
      <w:r w:rsidRPr="00384B41">
        <w:rPr>
          <w:rFonts w:ascii="Times New Roman" w:hAnsi="Times New Roman" w:cs="Times New Roman"/>
          <w:sz w:val="24"/>
          <w:szCs w:val="24"/>
        </w:rPr>
        <w:t>, что на 1</w:t>
      </w:r>
      <w:r w:rsidR="00860D99" w:rsidRPr="00384B41">
        <w:rPr>
          <w:rFonts w:ascii="Times New Roman" w:hAnsi="Times New Roman" w:cs="Times New Roman"/>
          <w:sz w:val="24"/>
          <w:szCs w:val="24"/>
        </w:rPr>
        <w:t>0</w:t>
      </w:r>
      <w:r w:rsidRPr="00384B41">
        <w:rPr>
          <w:rFonts w:ascii="Times New Roman" w:hAnsi="Times New Roman" w:cs="Times New Roman"/>
          <w:sz w:val="24"/>
          <w:szCs w:val="24"/>
        </w:rPr>
        <w:t xml:space="preserve"> дней быстрее чем плановое значение данного показ</w:t>
      </w:r>
      <w:r w:rsidR="00860D99" w:rsidRPr="00384B41">
        <w:rPr>
          <w:rFonts w:ascii="Times New Roman" w:hAnsi="Times New Roman" w:cs="Times New Roman"/>
          <w:sz w:val="24"/>
          <w:szCs w:val="24"/>
        </w:rPr>
        <w:t>ателя для автономного округа (45</w:t>
      </w:r>
      <w:r w:rsidRPr="00384B41">
        <w:rPr>
          <w:rFonts w:ascii="Times New Roman" w:hAnsi="Times New Roman" w:cs="Times New Roman"/>
          <w:sz w:val="24"/>
          <w:szCs w:val="24"/>
        </w:rPr>
        <w:t xml:space="preserve"> дней).</w:t>
      </w:r>
    </w:p>
    <w:p w:rsidR="00ED55D2" w:rsidRPr="00384B41" w:rsidRDefault="00ED55D2" w:rsidP="00384B41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По итогам за 201</w:t>
      </w:r>
      <w:r w:rsidR="008A38B5" w:rsidRPr="00384B41">
        <w:rPr>
          <w:rFonts w:ascii="Times New Roman" w:hAnsi="Times New Roman" w:cs="Times New Roman"/>
          <w:sz w:val="24"/>
          <w:szCs w:val="24"/>
        </w:rPr>
        <w:t>5</w:t>
      </w:r>
      <w:r w:rsidRPr="00384B41">
        <w:rPr>
          <w:rFonts w:ascii="Times New Roman" w:hAnsi="Times New Roman" w:cs="Times New Roman"/>
          <w:sz w:val="24"/>
          <w:szCs w:val="24"/>
        </w:rPr>
        <w:t xml:space="preserve"> год в целом по показателям достигнуты плановые значения и в 201</w:t>
      </w:r>
      <w:r w:rsidR="008A38B5" w:rsidRPr="00384B41">
        <w:rPr>
          <w:rFonts w:ascii="Times New Roman" w:hAnsi="Times New Roman" w:cs="Times New Roman"/>
          <w:sz w:val="24"/>
          <w:szCs w:val="24"/>
        </w:rPr>
        <w:t>6</w:t>
      </w:r>
      <w:r w:rsidRPr="00384B41">
        <w:rPr>
          <w:rFonts w:ascii="Times New Roman" w:hAnsi="Times New Roman" w:cs="Times New Roman"/>
          <w:sz w:val="24"/>
          <w:szCs w:val="24"/>
        </w:rPr>
        <w:t xml:space="preserve"> году планируется дальнейшая работа по улучшению показателей реализации Государственной программы и достижению установленных плановых годовых значений. В части энергосбережения и повышения энергоэффективности автономного округа в 2015 году запланирован перевод на цен</w:t>
      </w:r>
      <w:r w:rsidR="008A38B5" w:rsidRPr="00384B41">
        <w:rPr>
          <w:rFonts w:ascii="Times New Roman" w:hAnsi="Times New Roman" w:cs="Times New Roman"/>
          <w:sz w:val="24"/>
          <w:szCs w:val="24"/>
        </w:rPr>
        <w:t>трализованное электроснабжение 3</w:t>
      </w:r>
      <w:r w:rsidRPr="00384B41">
        <w:rPr>
          <w:rFonts w:ascii="Times New Roman" w:hAnsi="Times New Roman" w:cs="Times New Roman"/>
          <w:sz w:val="24"/>
          <w:szCs w:val="24"/>
        </w:rPr>
        <w:t xml:space="preserve"> населенных пунктов </w:t>
      </w:r>
      <w:r w:rsidR="008A38B5" w:rsidRPr="00384B41">
        <w:rPr>
          <w:rFonts w:ascii="Times New Roman" w:hAnsi="Times New Roman" w:cs="Times New Roman"/>
          <w:sz w:val="24"/>
          <w:szCs w:val="24"/>
        </w:rPr>
        <w:t>автономного округа</w:t>
      </w:r>
      <w:r w:rsidRPr="00384B41">
        <w:rPr>
          <w:rFonts w:ascii="Times New Roman" w:hAnsi="Times New Roman" w:cs="Times New Roman"/>
          <w:sz w:val="24"/>
          <w:szCs w:val="24"/>
        </w:rPr>
        <w:t>. Таким образом доля населенных пунктов, входящих в зону централизованного электроснабжения автономного округа составит 78%, а общее количество населенных пунктов с централизованным электроснабжением достигнет 161. В жилищно-коммунальном комплексе будет продолжена реализация мероприятий по замене ветхих сетей, что приведет к увеличению данного показателя.</w:t>
      </w:r>
    </w:p>
    <w:p w:rsidR="007911D2" w:rsidRPr="00384B41" w:rsidRDefault="007911D2" w:rsidP="00384B41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Для поддержки предприятий, привлекающих кредитные ресурсы на погашение задолженности за энергоресурсы, Правительством Югры принято подготовленное Департаментом распоряжение об оказании господдержки 5 предприятиям муниципальных образований </w:t>
      </w:r>
      <w:proofErr w:type="spellStart"/>
      <w:r w:rsidRPr="00384B41">
        <w:rPr>
          <w:rFonts w:ascii="Times New Roman" w:hAnsi="Times New Roman" w:cs="Times New Roman"/>
          <w:sz w:val="24"/>
          <w:szCs w:val="24"/>
        </w:rPr>
        <w:t>Пыть-Яха</w:t>
      </w:r>
      <w:proofErr w:type="spellEnd"/>
      <w:r w:rsidRPr="00384B41">
        <w:rPr>
          <w:rFonts w:ascii="Times New Roman" w:hAnsi="Times New Roman" w:cs="Times New Roman"/>
          <w:sz w:val="24"/>
          <w:szCs w:val="24"/>
        </w:rPr>
        <w:t xml:space="preserve">, Сургута, </w:t>
      </w:r>
      <w:proofErr w:type="spellStart"/>
      <w:r w:rsidRPr="00384B41">
        <w:rPr>
          <w:rFonts w:ascii="Times New Roman" w:hAnsi="Times New Roman" w:cs="Times New Roman"/>
          <w:sz w:val="24"/>
          <w:szCs w:val="24"/>
        </w:rPr>
        <w:t>Урая</w:t>
      </w:r>
      <w:proofErr w:type="spellEnd"/>
      <w:r w:rsidRPr="00384B41">
        <w:rPr>
          <w:rFonts w:ascii="Times New Roman" w:hAnsi="Times New Roman" w:cs="Times New Roman"/>
          <w:sz w:val="24"/>
          <w:szCs w:val="24"/>
        </w:rPr>
        <w:t xml:space="preserve">, Березовского и Советского районов (на погашение задолженности в 2014-2015 годах предприятиями направлено 620,9 млн. рублей привлеченных ресурсов). Фактический объем господдержки в 2015 году – 20,6 млн. рублей или 100% от заявленного (95% от плана на 2015 год). </w:t>
      </w:r>
    </w:p>
    <w:p w:rsidR="007911D2" w:rsidRPr="00384B41" w:rsidRDefault="007911D2" w:rsidP="00384B41">
      <w:pPr>
        <w:pStyle w:val="a3"/>
        <w:spacing w:line="276" w:lineRule="auto"/>
        <w:ind w:left="23" w:right="23" w:firstLine="517"/>
        <w:rPr>
          <w:sz w:val="24"/>
          <w:szCs w:val="24"/>
        </w:rPr>
      </w:pPr>
      <w:r w:rsidRPr="00384B41">
        <w:rPr>
          <w:sz w:val="24"/>
          <w:szCs w:val="24"/>
        </w:rPr>
        <w:t>В целях модернизации, строительства, реконструкции объектов коммунальной инфраструктуры автономного округа в 2015 году привлечены внебюджетные средства в размере 496,0 млн. рублей, в том числе 385,0 млн. рублей по Соглашениям между Правительством Югры и хозяйствующими субъектами, осуществляющими деятельность на территории автономного округа (ОАО "НК "Роснефть", ОАО "НК "Лукойл", ОАО "</w:t>
      </w:r>
      <w:proofErr w:type="spellStart"/>
      <w:r w:rsidRPr="00384B41">
        <w:rPr>
          <w:sz w:val="24"/>
          <w:szCs w:val="24"/>
        </w:rPr>
        <w:t>Сургутнефтегаз",ОАО</w:t>
      </w:r>
      <w:proofErr w:type="spellEnd"/>
      <w:r w:rsidRPr="00384B41">
        <w:rPr>
          <w:sz w:val="24"/>
          <w:szCs w:val="24"/>
        </w:rPr>
        <w:t xml:space="preserve"> "Газпром").</w:t>
      </w:r>
    </w:p>
    <w:p w:rsidR="004E197B" w:rsidRPr="00384B41" w:rsidRDefault="004E197B" w:rsidP="00384B4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lastRenderedPageBreak/>
        <w:t>По состоянию на 01.01.2016 в Ханты-Мансийском автономном округе - Югре создана вся необходимая нормативная база, регулирующая работу системы капитального ремонта, создан региональный оператор – Югорский фонд капитального ремонта многоквартирных домов, приняты и реализуются обязательства по оказанию государственной поддержки для проведения капитального ремонта за счет средств бюджета автономного округа, как собственно для софинансирования части стоимости работ, так и предоставления субсидий и компенсаций малоимущим гражданам и гражданам из числа льготных категорий по оплате взносов на капитальный ремонт.</w:t>
      </w:r>
    </w:p>
    <w:p w:rsidR="004E197B" w:rsidRPr="00384B41" w:rsidRDefault="004E197B" w:rsidP="00384B4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Постановлением Правительства автономного округа от 11.12.2015</w:t>
      </w:r>
      <w:r w:rsidRPr="00384B41">
        <w:rPr>
          <w:rFonts w:ascii="Times New Roman" w:hAnsi="Times New Roman" w:cs="Times New Roman"/>
          <w:sz w:val="24"/>
          <w:szCs w:val="24"/>
        </w:rPr>
        <w:br/>
        <w:t>№ 459-п внесены изменения в региональную программу капитального ремонта, постановлением Правительства автономного округа от 11.12.2015 № 458-п внесены изменения в краткосрочный план реализации программы капитального ремонта.</w:t>
      </w:r>
    </w:p>
    <w:p w:rsidR="004E197B" w:rsidRPr="00384B41" w:rsidRDefault="004E197B" w:rsidP="00384B4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В окружную программу капитального ремонта общего имущества в многоквартирных домах на период с 2014 по 2043 годы включены 6 632 многоквартирных дома, в которых проживают более 400 тысяч семей. </w:t>
      </w:r>
    </w:p>
    <w:p w:rsidR="004E197B" w:rsidRPr="00384B41" w:rsidRDefault="004E197B" w:rsidP="00384B4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4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Краткосрочный план реализации программы на период 2014-2016 годов включает ремонт 1036 домов на общую сумму 6,3 млрд. рублей. В краткосрочный план были включены дома, введенные в эксплуатацию до 1996 года. </w:t>
      </w:r>
    </w:p>
    <w:p w:rsidR="004E197B" w:rsidRPr="00384B41" w:rsidRDefault="004E197B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C25EE" w:rsidRPr="00384B41" w:rsidRDefault="003367D6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4B41">
        <w:rPr>
          <w:rFonts w:ascii="Times New Roman" w:hAnsi="Times New Roman" w:cs="Times New Roman"/>
          <w:b/>
          <w:i/>
          <w:sz w:val="24"/>
          <w:szCs w:val="24"/>
        </w:rPr>
        <w:t>4</w:t>
      </w:r>
      <w:r w:rsidR="00073771" w:rsidRPr="00384B4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3C25EE" w:rsidRPr="00384B4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b/>
          <w:i/>
          <w:sz w:val="24"/>
          <w:szCs w:val="24"/>
        </w:rPr>
        <w:t xml:space="preserve">Реализация программных мероприятий соисполнителями, в том числе муниципальными образованиями автономного округа. </w:t>
      </w:r>
    </w:p>
    <w:p w:rsidR="00BA2DF4" w:rsidRPr="00384B41" w:rsidRDefault="00BA2DF4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3C25EE" w:rsidRPr="00384B41" w:rsidRDefault="007B63B3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В процессе реализации мероприятий Государственной программы осуществлялось активное сотрудничество с муниципальными образованиями </w:t>
      </w:r>
      <w:r w:rsidR="00F4108C" w:rsidRPr="00384B41">
        <w:rPr>
          <w:rFonts w:ascii="Times New Roman" w:hAnsi="Times New Roman" w:cs="Times New Roman"/>
          <w:sz w:val="24"/>
          <w:szCs w:val="24"/>
        </w:rPr>
        <w:t>Ханты-</w:t>
      </w:r>
      <w:proofErr w:type="gramStart"/>
      <w:r w:rsidR="00F4108C" w:rsidRPr="00384B41">
        <w:rPr>
          <w:rFonts w:ascii="Times New Roman" w:hAnsi="Times New Roman" w:cs="Times New Roman"/>
          <w:sz w:val="24"/>
          <w:szCs w:val="24"/>
        </w:rPr>
        <w:t xml:space="preserve">Мансийского  </w:t>
      </w:r>
      <w:r w:rsidRPr="00384B41">
        <w:rPr>
          <w:rFonts w:ascii="Times New Roman" w:hAnsi="Times New Roman" w:cs="Times New Roman"/>
          <w:sz w:val="24"/>
          <w:szCs w:val="24"/>
        </w:rPr>
        <w:t>автономного</w:t>
      </w:r>
      <w:proofErr w:type="gramEnd"/>
      <w:r w:rsidRPr="00384B41"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F4108C" w:rsidRPr="00384B41">
        <w:rPr>
          <w:rFonts w:ascii="Times New Roman" w:hAnsi="Times New Roman" w:cs="Times New Roman"/>
          <w:sz w:val="24"/>
          <w:szCs w:val="24"/>
        </w:rPr>
        <w:t xml:space="preserve"> - Югры</w:t>
      </w:r>
      <w:r w:rsidRPr="00384B41">
        <w:rPr>
          <w:rFonts w:ascii="Times New Roman" w:hAnsi="Times New Roman" w:cs="Times New Roman"/>
          <w:sz w:val="24"/>
          <w:szCs w:val="24"/>
        </w:rPr>
        <w:t xml:space="preserve">. Общий объем средств по мероприятиям Государственной программы, по которым </w:t>
      </w:r>
      <w:r w:rsidR="00E02D68" w:rsidRPr="00384B41">
        <w:rPr>
          <w:rFonts w:ascii="Times New Roman" w:hAnsi="Times New Roman" w:cs="Times New Roman"/>
          <w:sz w:val="24"/>
          <w:szCs w:val="24"/>
        </w:rPr>
        <w:t>соисполнителями выступи</w:t>
      </w:r>
      <w:r w:rsidRPr="00384B41">
        <w:rPr>
          <w:rFonts w:ascii="Times New Roman" w:hAnsi="Times New Roman" w:cs="Times New Roman"/>
          <w:sz w:val="24"/>
          <w:szCs w:val="24"/>
        </w:rPr>
        <w:t>ли муниципальные образования автономного округа состав</w:t>
      </w:r>
      <w:r w:rsidR="00E02D68" w:rsidRPr="00384B41">
        <w:rPr>
          <w:rFonts w:ascii="Times New Roman" w:hAnsi="Times New Roman" w:cs="Times New Roman"/>
          <w:sz w:val="24"/>
          <w:szCs w:val="24"/>
        </w:rPr>
        <w:t>и</w:t>
      </w:r>
      <w:r w:rsidRPr="00384B41">
        <w:rPr>
          <w:rFonts w:ascii="Times New Roman" w:hAnsi="Times New Roman" w:cs="Times New Roman"/>
          <w:sz w:val="24"/>
          <w:szCs w:val="24"/>
        </w:rPr>
        <w:t xml:space="preserve">л всего </w:t>
      </w:r>
      <w:r w:rsidR="00BA2DF4" w:rsidRPr="00384B41">
        <w:rPr>
          <w:rFonts w:ascii="Times New Roman" w:hAnsi="Times New Roman" w:cs="Times New Roman"/>
          <w:sz w:val="24"/>
          <w:szCs w:val="24"/>
        </w:rPr>
        <w:t>5 932 090,0</w:t>
      </w:r>
      <w:r w:rsidRPr="00384B41">
        <w:rPr>
          <w:rFonts w:ascii="Times New Roman" w:hAnsi="Times New Roman" w:cs="Times New Roman"/>
          <w:sz w:val="24"/>
          <w:szCs w:val="24"/>
        </w:rPr>
        <w:t xml:space="preserve"> т</w:t>
      </w:r>
      <w:r w:rsidR="00BA2DF4" w:rsidRPr="00384B41">
        <w:rPr>
          <w:rFonts w:ascii="Times New Roman" w:hAnsi="Times New Roman" w:cs="Times New Roman"/>
          <w:sz w:val="24"/>
          <w:szCs w:val="24"/>
        </w:rPr>
        <w:t>ыс. рублей.</w:t>
      </w:r>
    </w:p>
    <w:p w:rsidR="007B63B3" w:rsidRPr="00384B41" w:rsidRDefault="007B63B3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E02D68" w:rsidRPr="00384B41">
        <w:rPr>
          <w:rFonts w:ascii="Times New Roman" w:hAnsi="Times New Roman" w:cs="Times New Roman"/>
          <w:sz w:val="24"/>
          <w:szCs w:val="24"/>
        </w:rPr>
        <w:t>С целью реализации мероприятий Государственной программы, в</w:t>
      </w:r>
      <w:r w:rsidRPr="00384B41">
        <w:rPr>
          <w:rFonts w:ascii="Times New Roman" w:hAnsi="Times New Roman" w:cs="Times New Roman"/>
          <w:sz w:val="24"/>
          <w:szCs w:val="24"/>
        </w:rPr>
        <w:t xml:space="preserve"> муниципальных образованиях автономного округа, как соисполнител</w:t>
      </w:r>
      <w:r w:rsidR="00E02D68" w:rsidRPr="00384B41">
        <w:rPr>
          <w:rFonts w:ascii="Times New Roman" w:hAnsi="Times New Roman" w:cs="Times New Roman"/>
          <w:sz w:val="24"/>
          <w:szCs w:val="24"/>
        </w:rPr>
        <w:t>ей</w:t>
      </w:r>
      <w:r w:rsidRPr="00384B41">
        <w:rPr>
          <w:rFonts w:ascii="Times New Roman" w:hAnsi="Times New Roman" w:cs="Times New Roman"/>
          <w:sz w:val="24"/>
          <w:szCs w:val="24"/>
        </w:rPr>
        <w:t>, разраб</w:t>
      </w:r>
      <w:r w:rsidR="00E02D68" w:rsidRPr="00384B41">
        <w:rPr>
          <w:rFonts w:ascii="Times New Roman" w:hAnsi="Times New Roman" w:cs="Times New Roman"/>
          <w:sz w:val="24"/>
          <w:szCs w:val="24"/>
        </w:rPr>
        <w:t>отаны</w:t>
      </w:r>
      <w:r w:rsidRPr="00384B41">
        <w:rPr>
          <w:rFonts w:ascii="Times New Roman" w:hAnsi="Times New Roman" w:cs="Times New Roman"/>
          <w:sz w:val="24"/>
          <w:szCs w:val="24"/>
        </w:rPr>
        <w:t xml:space="preserve"> и утвержд</w:t>
      </w:r>
      <w:r w:rsidR="00E02D68" w:rsidRPr="00384B41">
        <w:rPr>
          <w:rFonts w:ascii="Times New Roman" w:hAnsi="Times New Roman" w:cs="Times New Roman"/>
          <w:sz w:val="24"/>
          <w:szCs w:val="24"/>
        </w:rPr>
        <w:t>ены</w:t>
      </w:r>
      <w:r w:rsidRPr="00384B41">
        <w:rPr>
          <w:rFonts w:ascii="Times New Roman" w:hAnsi="Times New Roman" w:cs="Times New Roman"/>
          <w:sz w:val="24"/>
          <w:szCs w:val="24"/>
        </w:rPr>
        <w:t xml:space="preserve"> муниципальные программы</w:t>
      </w:r>
      <w:r w:rsidR="00B55EB5" w:rsidRPr="00384B41">
        <w:rPr>
          <w:rFonts w:ascii="Times New Roman" w:hAnsi="Times New Roman" w:cs="Times New Roman"/>
          <w:sz w:val="24"/>
          <w:szCs w:val="24"/>
        </w:rPr>
        <w:t xml:space="preserve"> в сферах жилищно-коммунального комплекса и энергетики</w:t>
      </w:r>
      <w:r w:rsidRPr="00384B41">
        <w:rPr>
          <w:rFonts w:ascii="Times New Roman" w:hAnsi="Times New Roman" w:cs="Times New Roman"/>
          <w:sz w:val="24"/>
          <w:szCs w:val="24"/>
        </w:rPr>
        <w:t xml:space="preserve">, </w:t>
      </w:r>
      <w:r w:rsidR="00E02D68" w:rsidRPr="00384B41">
        <w:rPr>
          <w:rFonts w:ascii="Times New Roman" w:hAnsi="Times New Roman" w:cs="Times New Roman"/>
          <w:sz w:val="24"/>
          <w:szCs w:val="24"/>
        </w:rPr>
        <w:t xml:space="preserve">где </w:t>
      </w:r>
      <w:r w:rsidRPr="00384B41">
        <w:rPr>
          <w:rFonts w:ascii="Times New Roman" w:hAnsi="Times New Roman" w:cs="Times New Roman"/>
          <w:sz w:val="24"/>
          <w:szCs w:val="24"/>
        </w:rPr>
        <w:t>предусм</w:t>
      </w:r>
      <w:r w:rsidR="00E02D68" w:rsidRPr="00384B41">
        <w:rPr>
          <w:rFonts w:ascii="Times New Roman" w:hAnsi="Times New Roman" w:cs="Times New Roman"/>
          <w:sz w:val="24"/>
          <w:szCs w:val="24"/>
        </w:rPr>
        <w:t>о</w:t>
      </w:r>
      <w:r w:rsidRPr="00384B41">
        <w:rPr>
          <w:rFonts w:ascii="Times New Roman" w:hAnsi="Times New Roman" w:cs="Times New Roman"/>
          <w:sz w:val="24"/>
          <w:szCs w:val="24"/>
        </w:rPr>
        <w:t>тр</w:t>
      </w:r>
      <w:r w:rsidR="00E02D68" w:rsidRPr="00384B41">
        <w:rPr>
          <w:rFonts w:ascii="Times New Roman" w:hAnsi="Times New Roman" w:cs="Times New Roman"/>
          <w:sz w:val="24"/>
          <w:szCs w:val="24"/>
        </w:rPr>
        <w:t>ены</w:t>
      </w:r>
      <w:r w:rsidRPr="00384B41">
        <w:rPr>
          <w:rFonts w:ascii="Times New Roman" w:hAnsi="Times New Roman" w:cs="Times New Roman"/>
          <w:sz w:val="24"/>
          <w:szCs w:val="24"/>
        </w:rPr>
        <w:t xml:space="preserve"> средства местных бюджетов на их реализацию в части софинансирования, разраб</w:t>
      </w:r>
      <w:r w:rsidR="00E02D68" w:rsidRPr="00384B41">
        <w:rPr>
          <w:rFonts w:ascii="Times New Roman" w:hAnsi="Times New Roman" w:cs="Times New Roman"/>
          <w:sz w:val="24"/>
          <w:szCs w:val="24"/>
        </w:rPr>
        <w:t>о</w:t>
      </w:r>
      <w:r w:rsidRPr="00384B41">
        <w:rPr>
          <w:rFonts w:ascii="Times New Roman" w:hAnsi="Times New Roman" w:cs="Times New Roman"/>
          <w:sz w:val="24"/>
          <w:szCs w:val="24"/>
        </w:rPr>
        <w:t>та</w:t>
      </w:r>
      <w:r w:rsidR="00E02D68" w:rsidRPr="00384B41">
        <w:rPr>
          <w:rFonts w:ascii="Times New Roman" w:hAnsi="Times New Roman" w:cs="Times New Roman"/>
          <w:sz w:val="24"/>
          <w:szCs w:val="24"/>
        </w:rPr>
        <w:t>ны</w:t>
      </w:r>
      <w:r w:rsidRPr="00384B41">
        <w:rPr>
          <w:rFonts w:ascii="Times New Roman" w:hAnsi="Times New Roman" w:cs="Times New Roman"/>
          <w:sz w:val="24"/>
          <w:szCs w:val="24"/>
        </w:rPr>
        <w:t xml:space="preserve"> и утвержд</w:t>
      </w:r>
      <w:r w:rsidR="00E02D68" w:rsidRPr="00384B41">
        <w:rPr>
          <w:rFonts w:ascii="Times New Roman" w:hAnsi="Times New Roman" w:cs="Times New Roman"/>
          <w:sz w:val="24"/>
          <w:szCs w:val="24"/>
        </w:rPr>
        <w:t>ены</w:t>
      </w:r>
      <w:r w:rsidRPr="00384B41">
        <w:rPr>
          <w:rFonts w:ascii="Times New Roman" w:hAnsi="Times New Roman" w:cs="Times New Roman"/>
          <w:sz w:val="24"/>
          <w:szCs w:val="24"/>
        </w:rPr>
        <w:t xml:space="preserve"> порядки.</w:t>
      </w:r>
    </w:p>
    <w:p w:rsidR="00B13862" w:rsidRPr="00384B41" w:rsidRDefault="007B63B3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84FF4" w:rsidRPr="00384B41">
        <w:rPr>
          <w:rFonts w:ascii="Times New Roman" w:hAnsi="Times New Roman" w:cs="Times New Roman"/>
          <w:sz w:val="24"/>
          <w:szCs w:val="24"/>
        </w:rPr>
        <w:t xml:space="preserve">В процессе реализации мероприятия «Капитальный ремонт многоквартирных домов» органами местного самоуправления городских округов и муниципальных районов автономного округа разработаны </w:t>
      </w:r>
      <w:r w:rsidR="00092FB8" w:rsidRPr="00384B41">
        <w:rPr>
          <w:rFonts w:ascii="Times New Roman" w:hAnsi="Times New Roman" w:cs="Times New Roman"/>
          <w:sz w:val="24"/>
          <w:szCs w:val="24"/>
        </w:rPr>
        <w:t xml:space="preserve">и утверждены краткосрочные планы реализации программы </w:t>
      </w:r>
      <w:r w:rsidR="00484FF4" w:rsidRPr="00384B41">
        <w:rPr>
          <w:rFonts w:ascii="Times New Roman" w:hAnsi="Times New Roman" w:cs="Times New Roman"/>
          <w:sz w:val="24"/>
          <w:szCs w:val="24"/>
        </w:rPr>
        <w:t>и заключены соглашения с Югорским оператором</w:t>
      </w:r>
      <w:r w:rsidR="00092FB8" w:rsidRPr="00384B4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1771D" w:rsidRPr="00384B41" w:rsidRDefault="00D1771D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7323D" w:rsidRPr="00384B41" w:rsidRDefault="002C74BF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4B41">
        <w:rPr>
          <w:rFonts w:ascii="Times New Roman" w:hAnsi="Times New Roman" w:cs="Times New Roman"/>
          <w:b/>
          <w:i/>
          <w:sz w:val="24"/>
          <w:szCs w:val="24"/>
        </w:rPr>
        <w:t>5</w:t>
      </w:r>
      <w:r w:rsidR="003367D6" w:rsidRPr="00384B4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521500" w:rsidRPr="00384B4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b/>
          <w:i/>
          <w:sz w:val="24"/>
          <w:szCs w:val="24"/>
        </w:rPr>
        <w:t>Наличие, объемы и состояние объектов незавершенного строительства.</w:t>
      </w:r>
    </w:p>
    <w:p w:rsidR="00D1771D" w:rsidRPr="00384B41" w:rsidRDefault="00D1771D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</w:p>
    <w:p w:rsidR="008640FE" w:rsidRPr="00384B41" w:rsidRDefault="008640FE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Государственной программой утвержден перечень объектов капитального строительства, которое осуществляется в процессе реализации мероприятий в разрезе источников финансирования.</w:t>
      </w:r>
    </w:p>
    <w:p w:rsidR="008640FE" w:rsidRPr="00384B41" w:rsidRDefault="008640FE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84B41">
        <w:rPr>
          <w:rFonts w:ascii="Times New Roman" w:hAnsi="Times New Roman" w:cs="Times New Roman"/>
          <w:sz w:val="24"/>
          <w:szCs w:val="24"/>
        </w:rPr>
        <w:t>Всего</w:t>
      </w:r>
      <w:r w:rsidR="00495CF9">
        <w:rPr>
          <w:rFonts w:ascii="Times New Roman" w:hAnsi="Times New Roman" w:cs="Times New Roman"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495CF9">
        <w:rPr>
          <w:rFonts w:ascii="Times New Roman" w:hAnsi="Times New Roman" w:cs="Times New Roman"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sz w:val="24"/>
          <w:szCs w:val="24"/>
        </w:rPr>
        <w:t>2015</w:t>
      </w:r>
      <w:r w:rsidR="00495CF9">
        <w:rPr>
          <w:rFonts w:ascii="Times New Roman" w:hAnsi="Times New Roman" w:cs="Times New Roman"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sz w:val="24"/>
          <w:szCs w:val="24"/>
        </w:rPr>
        <w:t xml:space="preserve"> году</w:t>
      </w:r>
      <w:r w:rsidR="00495CF9">
        <w:rPr>
          <w:rFonts w:ascii="Times New Roman" w:hAnsi="Times New Roman" w:cs="Times New Roman"/>
          <w:sz w:val="24"/>
          <w:szCs w:val="24"/>
        </w:rPr>
        <w:t xml:space="preserve">  </w:t>
      </w:r>
      <w:r w:rsidRPr="00384B41">
        <w:rPr>
          <w:rFonts w:ascii="Times New Roman" w:hAnsi="Times New Roman" w:cs="Times New Roman"/>
          <w:sz w:val="24"/>
          <w:szCs w:val="24"/>
        </w:rPr>
        <w:t xml:space="preserve"> в</w:t>
      </w:r>
      <w:r w:rsidR="00495CF9">
        <w:rPr>
          <w:rFonts w:ascii="Times New Roman" w:hAnsi="Times New Roman" w:cs="Times New Roman"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495CF9">
        <w:rPr>
          <w:rFonts w:ascii="Times New Roman" w:hAnsi="Times New Roman" w:cs="Times New Roman"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sz w:val="24"/>
          <w:szCs w:val="24"/>
        </w:rPr>
        <w:t>объекты</w:t>
      </w:r>
      <w:r w:rsidR="00495CF9">
        <w:rPr>
          <w:rFonts w:ascii="Times New Roman" w:hAnsi="Times New Roman" w:cs="Times New Roman"/>
          <w:sz w:val="24"/>
          <w:szCs w:val="24"/>
        </w:rPr>
        <w:t xml:space="preserve">  </w:t>
      </w:r>
      <w:r w:rsidRPr="00384B41">
        <w:rPr>
          <w:rFonts w:ascii="Times New Roman" w:hAnsi="Times New Roman" w:cs="Times New Roman"/>
          <w:sz w:val="24"/>
          <w:szCs w:val="24"/>
        </w:rPr>
        <w:t xml:space="preserve"> муниципальной </w:t>
      </w:r>
      <w:r w:rsidR="00495CF9">
        <w:rPr>
          <w:rFonts w:ascii="Times New Roman" w:hAnsi="Times New Roman" w:cs="Times New Roman"/>
          <w:sz w:val="24"/>
          <w:szCs w:val="24"/>
        </w:rPr>
        <w:t xml:space="preserve">  </w:t>
      </w:r>
      <w:r w:rsidRPr="00384B41">
        <w:rPr>
          <w:rFonts w:ascii="Times New Roman" w:hAnsi="Times New Roman" w:cs="Times New Roman"/>
          <w:sz w:val="24"/>
          <w:szCs w:val="24"/>
        </w:rPr>
        <w:t>собственности</w:t>
      </w:r>
      <w:r w:rsidR="00495CF9">
        <w:rPr>
          <w:rFonts w:ascii="Times New Roman" w:hAnsi="Times New Roman" w:cs="Times New Roman"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495CF9">
        <w:rPr>
          <w:rFonts w:ascii="Times New Roman" w:hAnsi="Times New Roman" w:cs="Times New Roman"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sz w:val="24"/>
          <w:szCs w:val="24"/>
        </w:rPr>
        <w:t>инвестировано</w:t>
      </w:r>
      <w:r w:rsidR="00495CF9">
        <w:rPr>
          <w:rFonts w:ascii="Times New Roman" w:hAnsi="Times New Roman" w:cs="Times New Roman"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495CF9">
        <w:rPr>
          <w:rFonts w:ascii="Times New Roman" w:hAnsi="Times New Roman" w:cs="Times New Roman"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sz w:val="24"/>
          <w:szCs w:val="24"/>
        </w:rPr>
        <w:t>1 724 474,5  тыс. рублей, в том числе:</w:t>
      </w:r>
    </w:p>
    <w:p w:rsidR="008640FE" w:rsidRPr="00384B41" w:rsidRDefault="008640FE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-за счет средств бюджета автономного округа 1 175 568,</w:t>
      </w:r>
      <w:proofErr w:type="gramStart"/>
      <w:r w:rsidRPr="00384B41">
        <w:rPr>
          <w:rFonts w:ascii="Times New Roman" w:hAnsi="Times New Roman" w:cs="Times New Roman"/>
          <w:sz w:val="24"/>
          <w:szCs w:val="24"/>
        </w:rPr>
        <w:t>4  тыс.</w:t>
      </w:r>
      <w:proofErr w:type="gramEnd"/>
      <w:r w:rsidRPr="00384B41">
        <w:rPr>
          <w:rFonts w:ascii="Times New Roman" w:hAnsi="Times New Roman" w:cs="Times New Roman"/>
          <w:sz w:val="24"/>
          <w:szCs w:val="24"/>
        </w:rPr>
        <w:t xml:space="preserve"> рублей;</w:t>
      </w:r>
    </w:p>
    <w:p w:rsidR="008640FE" w:rsidRPr="00384B41" w:rsidRDefault="008640FE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lastRenderedPageBreak/>
        <w:t>-за счет средств местных бюджетов 72 906,1 тыс. рублей (в том числе привлеченные средства от хозяйствующих субъектов, осуществляющих деятельность на территории автономного округа в объеме 20 000,0 тыс. рублей);</w:t>
      </w:r>
    </w:p>
    <w:p w:rsidR="008640FE" w:rsidRPr="00384B41" w:rsidRDefault="008640FE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-за счет иных внебюджетных источников 476 000,</w:t>
      </w:r>
      <w:proofErr w:type="gramStart"/>
      <w:r w:rsidRPr="00384B41">
        <w:rPr>
          <w:rFonts w:ascii="Times New Roman" w:hAnsi="Times New Roman" w:cs="Times New Roman"/>
          <w:sz w:val="24"/>
          <w:szCs w:val="24"/>
        </w:rPr>
        <w:t>0  тыс.</w:t>
      </w:r>
      <w:proofErr w:type="gramEnd"/>
      <w:r w:rsidRPr="00384B41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8640FE" w:rsidRPr="00384B41" w:rsidRDefault="008640FE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40FE" w:rsidRPr="00384B41" w:rsidRDefault="008640FE" w:rsidP="00384B41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Таблица 2</w:t>
      </w:r>
    </w:p>
    <w:p w:rsidR="008640FE" w:rsidRPr="00384B41" w:rsidRDefault="008640FE" w:rsidP="00384B41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Перечень незавершенных строительством объектов</w:t>
      </w: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560"/>
        <w:gridCol w:w="8791"/>
      </w:tblGrid>
      <w:tr w:rsidR="008640FE" w:rsidRPr="00384B41" w:rsidTr="00E0508F">
        <w:tc>
          <w:tcPr>
            <w:tcW w:w="560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791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</w:tr>
      <w:tr w:rsidR="008640FE" w:rsidRPr="00384B41" w:rsidTr="00E0508F">
        <w:tc>
          <w:tcPr>
            <w:tcW w:w="9351" w:type="dxa"/>
            <w:gridSpan w:val="2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b/>
                <w:sz w:val="24"/>
                <w:szCs w:val="24"/>
              </w:rPr>
              <w:t>Объекты, незавершенные строительством, софинансирование которых продолжится в 2016 году</w:t>
            </w:r>
          </w:p>
        </w:tc>
      </w:tr>
      <w:tr w:rsidR="008640FE" w:rsidRPr="00384B41" w:rsidTr="00E0508F">
        <w:tc>
          <w:tcPr>
            <w:tcW w:w="560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91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 xml:space="preserve">Газификация </w:t>
            </w:r>
            <w:proofErr w:type="spellStart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. Высокого (г. Мегион)</w:t>
            </w:r>
          </w:p>
        </w:tc>
      </w:tr>
      <w:tr w:rsidR="008640FE" w:rsidRPr="00384B41" w:rsidTr="00E0508F">
        <w:tc>
          <w:tcPr>
            <w:tcW w:w="560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91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4-х КНС в </w:t>
            </w:r>
            <w:proofErr w:type="spellStart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п.Высокий</w:t>
            </w:r>
            <w:proofErr w:type="spellEnd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 xml:space="preserve"> (г. Мегион)</w:t>
            </w:r>
          </w:p>
        </w:tc>
      </w:tr>
      <w:tr w:rsidR="008640FE" w:rsidRPr="00384B41" w:rsidTr="00E0508F">
        <w:tc>
          <w:tcPr>
            <w:tcW w:w="560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91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 xml:space="preserve">Бытовая канализация г. </w:t>
            </w:r>
            <w:proofErr w:type="spellStart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Нягани</w:t>
            </w:r>
            <w:proofErr w:type="spellEnd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 xml:space="preserve">. ГКНС и КОС г. Нягань с доведением производительности КОС до 27 000 </w:t>
            </w:r>
            <w:proofErr w:type="spellStart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куб.м</w:t>
            </w:r>
            <w:proofErr w:type="spellEnd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./</w:t>
            </w:r>
            <w:proofErr w:type="spellStart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сут</w:t>
            </w:r>
            <w:proofErr w:type="spellEnd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40FE" w:rsidRPr="00384B41" w:rsidTr="00E0508F">
        <w:tc>
          <w:tcPr>
            <w:tcW w:w="560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91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 xml:space="preserve">Газоснабжение </w:t>
            </w:r>
            <w:proofErr w:type="spellStart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Зеленоборск</w:t>
            </w:r>
            <w:proofErr w:type="spellEnd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 xml:space="preserve"> Советского района</w:t>
            </w:r>
          </w:p>
        </w:tc>
      </w:tr>
      <w:tr w:rsidR="008640FE" w:rsidRPr="00384B41" w:rsidTr="00E0508F">
        <w:tc>
          <w:tcPr>
            <w:tcW w:w="560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91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 xml:space="preserve">ВОС на 200 куб/сут. в </w:t>
            </w:r>
            <w:proofErr w:type="spellStart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. Луговой Кондинского района</w:t>
            </w:r>
          </w:p>
        </w:tc>
      </w:tr>
      <w:tr w:rsidR="008640FE" w:rsidRPr="00384B41" w:rsidTr="00E0508F">
        <w:tc>
          <w:tcPr>
            <w:tcW w:w="560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791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и расширение водоочистных сооружений </w:t>
            </w:r>
            <w:proofErr w:type="spellStart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п.Нижнесортымский</w:t>
            </w:r>
            <w:proofErr w:type="spellEnd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 xml:space="preserve"> с 3200 на 7000 м3/сутки Сургутского района</w:t>
            </w:r>
          </w:p>
        </w:tc>
      </w:tr>
      <w:tr w:rsidR="008640FE" w:rsidRPr="00384B41" w:rsidTr="00E0508F">
        <w:tc>
          <w:tcPr>
            <w:tcW w:w="560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791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Обеспечение водоснабжением г. Белоярский (ПИР)</w:t>
            </w:r>
          </w:p>
        </w:tc>
      </w:tr>
      <w:tr w:rsidR="008640FE" w:rsidRPr="00384B41" w:rsidTr="00E0508F">
        <w:tc>
          <w:tcPr>
            <w:tcW w:w="560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791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ВОС-1 (2 очередь) г. </w:t>
            </w:r>
            <w:proofErr w:type="spellStart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Пыть-Ях</w:t>
            </w:r>
            <w:proofErr w:type="spellEnd"/>
          </w:p>
        </w:tc>
      </w:tr>
      <w:tr w:rsidR="008640FE" w:rsidRPr="00384B41" w:rsidTr="00E0508F">
        <w:tc>
          <w:tcPr>
            <w:tcW w:w="9351" w:type="dxa"/>
            <w:gridSpan w:val="2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b/>
                <w:sz w:val="24"/>
                <w:szCs w:val="24"/>
              </w:rPr>
              <w:t>Объекты, завершенные строительством, софинансирование которых завершено в 2015 году, но не введены в эксплуатацию</w:t>
            </w:r>
          </w:p>
        </w:tc>
      </w:tr>
      <w:tr w:rsidR="008640FE" w:rsidRPr="00384B41" w:rsidTr="00E0508F">
        <w:tc>
          <w:tcPr>
            <w:tcW w:w="560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791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Канализационно-очистные сооружения производительностью 50 000 м3/сутки в городе Нефтеюганске (1-й этап строительства)</w:t>
            </w:r>
          </w:p>
        </w:tc>
      </w:tr>
      <w:tr w:rsidR="008640FE" w:rsidRPr="00384B41" w:rsidTr="00E0508F">
        <w:tc>
          <w:tcPr>
            <w:tcW w:w="560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791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 xml:space="preserve">Расширение канализационных очистных сооружений в городе </w:t>
            </w:r>
            <w:proofErr w:type="spellStart"/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Югорске</w:t>
            </w:r>
            <w:proofErr w:type="spellEnd"/>
          </w:p>
        </w:tc>
      </w:tr>
      <w:tr w:rsidR="008640FE" w:rsidRPr="00384B41" w:rsidTr="00E0508F">
        <w:tc>
          <w:tcPr>
            <w:tcW w:w="560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791" w:type="dxa"/>
          </w:tcPr>
          <w:p w:rsidR="008640FE" w:rsidRPr="00384B41" w:rsidRDefault="008640FE" w:rsidP="00384B4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4B41">
              <w:rPr>
                <w:rFonts w:ascii="Times New Roman" w:hAnsi="Times New Roman" w:cs="Times New Roman"/>
                <w:sz w:val="24"/>
                <w:szCs w:val="24"/>
              </w:rPr>
              <w:t>Модернизация нежилого строения станции обезжелезивания, г. Нефтеюганск, 7 микрорайон</w:t>
            </w:r>
          </w:p>
        </w:tc>
      </w:tr>
    </w:tbl>
    <w:p w:rsidR="008640FE" w:rsidRPr="00384B41" w:rsidRDefault="008640FE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640FE" w:rsidRPr="00384B41" w:rsidRDefault="008640FE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В 2015 году на условиях софинансирования из бюджета автономного округа осуществлялось строительство 14 объектов водоснабжения, водоотведения, теплоснабжения, газоснабжения в 10 муниципальных образованиях автономного: г. Нефтеюганск, г. Нижневартовск, г. Нягань, г. </w:t>
      </w:r>
      <w:proofErr w:type="spellStart"/>
      <w:r w:rsidRPr="00384B41">
        <w:rPr>
          <w:rFonts w:ascii="Times New Roman" w:hAnsi="Times New Roman" w:cs="Times New Roman"/>
          <w:sz w:val="24"/>
          <w:szCs w:val="24"/>
        </w:rPr>
        <w:t>Пыть-Ях</w:t>
      </w:r>
      <w:proofErr w:type="spellEnd"/>
      <w:r w:rsidRPr="00384B41">
        <w:rPr>
          <w:rFonts w:ascii="Times New Roman" w:hAnsi="Times New Roman" w:cs="Times New Roman"/>
          <w:sz w:val="24"/>
          <w:szCs w:val="24"/>
        </w:rPr>
        <w:t xml:space="preserve">, г. Урай, г. </w:t>
      </w:r>
      <w:proofErr w:type="spellStart"/>
      <w:r w:rsidRPr="00384B41">
        <w:rPr>
          <w:rFonts w:ascii="Times New Roman" w:hAnsi="Times New Roman" w:cs="Times New Roman"/>
          <w:sz w:val="24"/>
          <w:szCs w:val="24"/>
        </w:rPr>
        <w:t>Югорск</w:t>
      </w:r>
      <w:proofErr w:type="spellEnd"/>
      <w:r w:rsidRPr="00384B41">
        <w:rPr>
          <w:rFonts w:ascii="Times New Roman" w:hAnsi="Times New Roman" w:cs="Times New Roman"/>
          <w:sz w:val="24"/>
          <w:szCs w:val="24"/>
        </w:rPr>
        <w:t xml:space="preserve">, Кондинский, Октябрьский, Советский и Ханты-Мансийский районы. Начато проектирование 1 объекта водоснабжения и завершено строительство 9 объектов.          </w:t>
      </w:r>
    </w:p>
    <w:p w:rsidR="00D1771D" w:rsidRPr="00384B41" w:rsidRDefault="00D1771D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По итогам 2015 года на территории автономного округа осталось незавершенных строительством 4 объекта водоотведения, газоснабжения в </w:t>
      </w:r>
      <w:proofErr w:type="spellStart"/>
      <w:r w:rsidRPr="00384B41">
        <w:rPr>
          <w:rFonts w:ascii="Times New Roman" w:hAnsi="Times New Roman" w:cs="Times New Roman"/>
          <w:sz w:val="24"/>
          <w:szCs w:val="24"/>
        </w:rPr>
        <w:t>Нягани</w:t>
      </w:r>
      <w:proofErr w:type="spellEnd"/>
      <w:r w:rsidRPr="00384B4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4B41">
        <w:rPr>
          <w:rFonts w:ascii="Times New Roman" w:hAnsi="Times New Roman" w:cs="Times New Roman"/>
          <w:sz w:val="24"/>
          <w:szCs w:val="24"/>
        </w:rPr>
        <w:t>Мегионе</w:t>
      </w:r>
      <w:proofErr w:type="spellEnd"/>
      <w:r w:rsidRPr="00384B41">
        <w:rPr>
          <w:rFonts w:ascii="Times New Roman" w:hAnsi="Times New Roman" w:cs="Times New Roman"/>
          <w:sz w:val="24"/>
          <w:szCs w:val="24"/>
        </w:rPr>
        <w:t xml:space="preserve">, Советском районе. В 2016 году на строительство (завершение) данных объектов предусмотрены средства окружного бюджета в размере 515 036,0 </w:t>
      </w:r>
      <w:proofErr w:type="spellStart"/>
      <w:r w:rsidRPr="00384B41"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r w:rsidRPr="00384B41">
        <w:rPr>
          <w:rFonts w:ascii="Times New Roman" w:hAnsi="Times New Roman" w:cs="Times New Roman"/>
          <w:sz w:val="24"/>
          <w:szCs w:val="24"/>
        </w:rPr>
        <w:t>.</w:t>
      </w:r>
    </w:p>
    <w:p w:rsidR="0047323D" w:rsidRPr="00384B41" w:rsidRDefault="0047323D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B43DD" w:rsidRPr="00384B41" w:rsidRDefault="0047323D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4B41">
        <w:rPr>
          <w:rFonts w:ascii="Times New Roman" w:hAnsi="Times New Roman" w:cs="Times New Roman"/>
          <w:b/>
          <w:i/>
          <w:sz w:val="24"/>
          <w:szCs w:val="24"/>
        </w:rPr>
        <w:t xml:space="preserve">6. Размещение заказов </w:t>
      </w:r>
      <w:r w:rsidR="001B43DD" w:rsidRPr="00384B41">
        <w:rPr>
          <w:rFonts w:ascii="Times New Roman" w:hAnsi="Times New Roman" w:cs="Times New Roman"/>
          <w:b/>
          <w:i/>
          <w:sz w:val="24"/>
          <w:szCs w:val="24"/>
        </w:rPr>
        <w:t>и выполнение заключенных государственных контрактов.</w:t>
      </w:r>
    </w:p>
    <w:p w:rsidR="002C74BF" w:rsidRPr="00384B41" w:rsidRDefault="002C74BF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21500" w:rsidRPr="00384B41" w:rsidRDefault="00B8160F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По итогам за </w:t>
      </w:r>
      <w:r w:rsidR="00E02D68" w:rsidRPr="00384B41">
        <w:rPr>
          <w:rFonts w:ascii="Times New Roman" w:hAnsi="Times New Roman" w:cs="Times New Roman"/>
          <w:sz w:val="24"/>
          <w:szCs w:val="24"/>
        </w:rPr>
        <w:t>201</w:t>
      </w:r>
      <w:r w:rsidR="00E21D19" w:rsidRPr="00384B41">
        <w:rPr>
          <w:rFonts w:ascii="Times New Roman" w:hAnsi="Times New Roman" w:cs="Times New Roman"/>
          <w:sz w:val="24"/>
          <w:szCs w:val="24"/>
        </w:rPr>
        <w:t>5</w:t>
      </w:r>
      <w:r w:rsidR="00E02D68" w:rsidRPr="00384B41">
        <w:rPr>
          <w:rFonts w:ascii="Times New Roman" w:hAnsi="Times New Roman" w:cs="Times New Roman"/>
          <w:sz w:val="24"/>
          <w:szCs w:val="24"/>
        </w:rPr>
        <w:t xml:space="preserve"> год Департаментом </w:t>
      </w:r>
      <w:r w:rsidR="00ED3282" w:rsidRPr="00384B41">
        <w:rPr>
          <w:rFonts w:ascii="Times New Roman" w:hAnsi="Times New Roman" w:cs="Times New Roman"/>
          <w:sz w:val="24"/>
          <w:szCs w:val="24"/>
        </w:rPr>
        <w:t>з</w:t>
      </w:r>
      <w:r w:rsidR="00E02D68" w:rsidRPr="00384B41">
        <w:rPr>
          <w:rFonts w:ascii="Times New Roman" w:hAnsi="Times New Roman" w:cs="Times New Roman"/>
          <w:sz w:val="24"/>
          <w:szCs w:val="24"/>
        </w:rPr>
        <w:t>аключено и исполнено</w:t>
      </w:r>
      <w:r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E21D19" w:rsidRPr="00384B41">
        <w:rPr>
          <w:rFonts w:ascii="Times New Roman" w:hAnsi="Times New Roman" w:cs="Times New Roman"/>
          <w:sz w:val="24"/>
          <w:szCs w:val="24"/>
        </w:rPr>
        <w:t>59</w:t>
      </w:r>
      <w:r w:rsidRPr="00384B41">
        <w:rPr>
          <w:rFonts w:ascii="Times New Roman" w:hAnsi="Times New Roman" w:cs="Times New Roman"/>
          <w:sz w:val="24"/>
          <w:szCs w:val="24"/>
        </w:rPr>
        <w:t xml:space="preserve"> государственных контрактов на общую сумму </w:t>
      </w:r>
      <w:r w:rsidR="00495CF9">
        <w:rPr>
          <w:rFonts w:ascii="Times New Roman" w:hAnsi="Times New Roman" w:cs="Times New Roman"/>
          <w:sz w:val="24"/>
          <w:szCs w:val="24"/>
        </w:rPr>
        <w:t>48 536,5</w:t>
      </w:r>
      <w:r w:rsidRPr="00384B41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E02D68" w:rsidRPr="00384B41">
        <w:rPr>
          <w:rFonts w:ascii="Times New Roman" w:hAnsi="Times New Roman" w:cs="Times New Roman"/>
          <w:sz w:val="24"/>
          <w:szCs w:val="24"/>
        </w:rPr>
        <w:t>,</w:t>
      </w:r>
      <w:r w:rsidRPr="00384B41">
        <w:rPr>
          <w:rFonts w:ascii="Times New Roman" w:hAnsi="Times New Roman" w:cs="Times New Roman"/>
          <w:sz w:val="24"/>
          <w:szCs w:val="24"/>
        </w:rPr>
        <w:t xml:space="preserve"> согласно утвержденному плану – графику размещения заказов на поставку товаров, выполнение работ и оказание услуг.</w:t>
      </w:r>
      <w:r w:rsidR="00495CF9">
        <w:rPr>
          <w:rFonts w:ascii="Times New Roman" w:hAnsi="Times New Roman" w:cs="Times New Roman"/>
          <w:sz w:val="24"/>
          <w:szCs w:val="24"/>
        </w:rPr>
        <w:t xml:space="preserve"> В том числе с </w:t>
      </w:r>
      <w:r w:rsidR="00495CF9">
        <w:rPr>
          <w:rFonts w:ascii="Times New Roman" w:hAnsi="Times New Roman" w:cs="Times New Roman"/>
          <w:sz w:val="24"/>
          <w:szCs w:val="24"/>
        </w:rPr>
        <w:lastRenderedPageBreak/>
        <w:t xml:space="preserve">применением конкурентных способов закупок на сумму 47 083,1 тыс. рублей. </w:t>
      </w:r>
      <w:r w:rsidRPr="00384B41">
        <w:rPr>
          <w:rFonts w:ascii="Times New Roman" w:hAnsi="Times New Roman" w:cs="Times New Roman"/>
          <w:sz w:val="24"/>
          <w:szCs w:val="24"/>
        </w:rPr>
        <w:t xml:space="preserve"> Основными способами размещения заказа являлись: </w:t>
      </w:r>
      <w:r w:rsidR="00E21D19" w:rsidRPr="00384B41">
        <w:rPr>
          <w:rFonts w:ascii="Times New Roman" w:hAnsi="Times New Roman" w:cs="Times New Roman"/>
          <w:sz w:val="24"/>
          <w:szCs w:val="24"/>
        </w:rPr>
        <w:t xml:space="preserve">запрос котировок, </w:t>
      </w:r>
      <w:r w:rsidRPr="00384B41">
        <w:rPr>
          <w:rFonts w:ascii="Times New Roman" w:hAnsi="Times New Roman" w:cs="Times New Roman"/>
          <w:sz w:val="24"/>
          <w:szCs w:val="24"/>
        </w:rPr>
        <w:t xml:space="preserve">открытый конкурс, электронный аукцион, запрос предложений, единственный поставщик с соблюдением положений Федерального закона от 5 апреля 2013 года № 44-ФЗ «О контрактной системе в сфере закупок товаров, работ, услуг для обеспечения  государственных и муниципальных нужд» и Федерального закона от 21 июля 2005 года № 94-ФЗ «О размещении заказов на поставки товаров, выполнение работ, оказание услуг </w:t>
      </w:r>
      <w:r w:rsidR="00BF0215" w:rsidRPr="00384B41">
        <w:rPr>
          <w:rFonts w:ascii="Times New Roman" w:hAnsi="Times New Roman" w:cs="Times New Roman"/>
          <w:sz w:val="24"/>
          <w:szCs w:val="24"/>
        </w:rPr>
        <w:t xml:space="preserve">для государственных и муниципальных нужд». Сумма экономии по заключенным </w:t>
      </w:r>
      <w:r w:rsidR="00ED3282" w:rsidRPr="00384B41">
        <w:rPr>
          <w:rFonts w:ascii="Times New Roman" w:hAnsi="Times New Roman" w:cs="Times New Roman"/>
          <w:sz w:val="24"/>
          <w:szCs w:val="24"/>
        </w:rPr>
        <w:t xml:space="preserve">государственным </w:t>
      </w:r>
      <w:r w:rsidR="00BF0215" w:rsidRPr="00384B41">
        <w:rPr>
          <w:rFonts w:ascii="Times New Roman" w:hAnsi="Times New Roman" w:cs="Times New Roman"/>
          <w:sz w:val="24"/>
          <w:szCs w:val="24"/>
        </w:rPr>
        <w:t xml:space="preserve">контрактам составила </w:t>
      </w:r>
      <w:r w:rsidR="00E21D19" w:rsidRPr="00384B41">
        <w:rPr>
          <w:rFonts w:ascii="Times New Roman" w:hAnsi="Times New Roman" w:cs="Times New Roman"/>
          <w:sz w:val="24"/>
          <w:szCs w:val="24"/>
        </w:rPr>
        <w:t>9 258,3</w:t>
      </w:r>
      <w:r w:rsidR="00BF0215" w:rsidRPr="00384B41">
        <w:rPr>
          <w:rFonts w:ascii="Times New Roman" w:hAnsi="Times New Roman" w:cs="Times New Roman"/>
          <w:sz w:val="24"/>
          <w:szCs w:val="24"/>
        </w:rPr>
        <w:t xml:space="preserve"> тыс. рублей. По «опережающим закупкам» заключено контрактов на сумму </w:t>
      </w:r>
      <w:r w:rsidR="00E21D19" w:rsidRPr="00384B41">
        <w:rPr>
          <w:rFonts w:ascii="Times New Roman" w:hAnsi="Times New Roman" w:cs="Times New Roman"/>
          <w:sz w:val="24"/>
          <w:szCs w:val="24"/>
        </w:rPr>
        <w:t>17 398,7</w:t>
      </w:r>
      <w:r w:rsidR="00BF0215" w:rsidRPr="00384B41">
        <w:rPr>
          <w:rFonts w:ascii="Times New Roman" w:hAnsi="Times New Roman" w:cs="Times New Roman"/>
          <w:sz w:val="24"/>
          <w:szCs w:val="24"/>
        </w:rPr>
        <w:t xml:space="preserve"> тыс. рублей, которые будут исполнены в 201</w:t>
      </w:r>
      <w:r w:rsidR="00E21D19" w:rsidRPr="00384B41">
        <w:rPr>
          <w:rFonts w:ascii="Times New Roman" w:hAnsi="Times New Roman" w:cs="Times New Roman"/>
          <w:sz w:val="24"/>
          <w:szCs w:val="24"/>
        </w:rPr>
        <w:t>6</w:t>
      </w:r>
      <w:r w:rsidR="00BF0215" w:rsidRPr="00384B41"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ED3282" w:rsidRPr="00384B41" w:rsidRDefault="00ED3282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4108C" w:rsidRPr="00384B41" w:rsidRDefault="001B43DD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4B41">
        <w:rPr>
          <w:rFonts w:ascii="Times New Roman" w:hAnsi="Times New Roman" w:cs="Times New Roman"/>
          <w:b/>
          <w:i/>
          <w:sz w:val="24"/>
          <w:szCs w:val="24"/>
        </w:rPr>
        <w:t>7.</w:t>
      </w:r>
      <w:r w:rsidR="00141D42" w:rsidRPr="00384B41">
        <w:rPr>
          <w:rFonts w:ascii="Times New Roman" w:hAnsi="Times New Roman" w:cs="Times New Roman"/>
          <w:b/>
          <w:i/>
          <w:sz w:val="24"/>
          <w:szCs w:val="24"/>
        </w:rPr>
        <w:t xml:space="preserve"> Анализ факторов и рисков, повлиявших на изменение результатов реализации мероприятий Государственной программы. </w:t>
      </w:r>
      <w:r w:rsidR="00765C7D" w:rsidRPr="00384B41">
        <w:rPr>
          <w:rFonts w:ascii="Times New Roman" w:hAnsi="Times New Roman" w:cs="Times New Roman"/>
          <w:b/>
          <w:i/>
          <w:sz w:val="24"/>
          <w:szCs w:val="24"/>
        </w:rPr>
        <w:t>Внутренние факторы, на которые исполнитель мог повлиять и внешние факторы, не зависящие от ответственного исполнителя</w:t>
      </w:r>
      <w:r w:rsidRPr="00384B41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65C7D" w:rsidRPr="00384B41" w:rsidRDefault="00765C7D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5542" w:rsidRPr="00384B41" w:rsidRDefault="00445542" w:rsidP="00384B41">
      <w:pPr>
        <w:pStyle w:val="2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84B41">
        <w:rPr>
          <w:rFonts w:ascii="Times New Roman" w:hAnsi="Times New Roman"/>
          <w:sz w:val="24"/>
          <w:szCs w:val="24"/>
        </w:rPr>
        <w:t xml:space="preserve">          </w:t>
      </w:r>
      <w:r w:rsidR="004B3E3D" w:rsidRPr="00384B41">
        <w:rPr>
          <w:rFonts w:ascii="Times New Roman" w:hAnsi="Times New Roman"/>
          <w:sz w:val="24"/>
          <w:szCs w:val="24"/>
        </w:rPr>
        <w:t>В</w:t>
      </w:r>
      <w:r w:rsidR="00E02D68" w:rsidRPr="00384B41">
        <w:rPr>
          <w:rFonts w:ascii="Times New Roman" w:hAnsi="Times New Roman"/>
          <w:sz w:val="24"/>
          <w:szCs w:val="24"/>
        </w:rPr>
        <w:t>о</w:t>
      </w:r>
      <w:r w:rsidRPr="00384B41">
        <w:rPr>
          <w:rFonts w:ascii="Times New Roman" w:hAnsi="Times New Roman"/>
          <w:sz w:val="24"/>
          <w:szCs w:val="24"/>
        </w:rPr>
        <w:t xml:space="preserve"> исполнение </w:t>
      </w:r>
      <w:r w:rsidR="009845A9" w:rsidRPr="00384B41">
        <w:rPr>
          <w:rFonts w:ascii="Times New Roman" w:hAnsi="Times New Roman"/>
          <w:sz w:val="24"/>
          <w:szCs w:val="24"/>
        </w:rPr>
        <w:t xml:space="preserve">пункта 2.6 приложения № 1 </w:t>
      </w:r>
      <w:r w:rsidRPr="00384B41">
        <w:rPr>
          <w:rFonts w:ascii="Times New Roman" w:hAnsi="Times New Roman"/>
          <w:sz w:val="24"/>
          <w:szCs w:val="24"/>
        </w:rPr>
        <w:t>постановления Правител</w:t>
      </w:r>
      <w:r w:rsidR="00E02D68" w:rsidRPr="00384B41">
        <w:rPr>
          <w:rFonts w:ascii="Times New Roman" w:hAnsi="Times New Roman"/>
          <w:sz w:val="24"/>
          <w:szCs w:val="24"/>
        </w:rPr>
        <w:t xml:space="preserve">ьства </w:t>
      </w:r>
      <w:r w:rsidR="00F4108C" w:rsidRPr="00384B41">
        <w:rPr>
          <w:rFonts w:ascii="Times New Roman" w:hAnsi="Times New Roman"/>
          <w:sz w:val="24"/>
          <w:szCs w:val="24"/>
        </w:rPr>
        <w:t xml:space="preserve">Ханты-Мансийского </w:t>
      </w:r>
      <w:r w:rsidR="00E02D68" w:rsidRPr="00384B41">
        <w:rPr>
          <w:rFonts w:ascii="Times New Roman" w:hAnsi="Times New Roman"/>
          <w:sz w:val="24"/>
          <w:szCs w:val="24"/>
        </w:rPr>
        <w:t>автономного округа</w:t>
      </w:r>
      <w:r w:rsidRPr="00384B41">
        <w:rPr>
          <w:rFonts w:ascii="Times New Roman" w:hAnsi="Times New Roman"/>
          <w:sz w:val="24"/>
          <w:szCs w:val="24"/>
        </w:rPr>
        <w:t xml:space="preserve"> </w:t>
      </w:r>
      <w:r w:rsidR="00F4108C" w:rsidRPr="00384B41">
        <w:rPr>
          <w:rFonts w:ascii="Times New Roman" w:hAnsi="Times New Roman"/>
          <w:sz w:val="24"/>
          <w:szCs w:val="24"/>
        </w:rPr>
        <w:t xml:space="preserve">– Югры </w:t>
      </w:r>
      <w:r w:rsidRPr="00384B41">
        <w:rPr>
          <w:rFonts w:ascii="Times New Roman" w:hAnsi="Times New Roman"/>
          <w:sz w:val="24"/>
          <w:szCs w:val="24"/>
        </w:rPr>
        <w:t xml:space="preserve">от </w:t>
      </w:r>
      <w:r w:rsidR="001B43DD" w:rsidRPr="00384B41">
        <w:rPr>
          <w:rFonts w:ascii="Times New Roman" w:hAnsi="Times New Roman"/>
          <w:sz w:val="24"/>
          <w:szCs w:val="24"/>
        </w:rPr>
        <w:t>26</w:t>
      </w:r>
      <w:r w:rsidR="00765C7D" w:rsidRPr="00384B41">
        <w:rPr>
          <w:rFonts w:ascii="Times New Roman" w:hAnsi="Times New Roman"/>
          <w:sz w:val="24"/>
          <w:szCs w:val="24"/>
        </w:rPr>
        <w:t xml:space="preserve"> декабря 201</w:t>
      </w:r>
      <w:r w:rsidR="001B43DD" w:rsidRPr="00384B41">
        <w:rPr>
          <w:rFonts w:ascii="Times New Roman" w:hAnsi="Times New Roman"/>
          <w:sz w:val="24"/>
          <w:szCs w:val="24"/>
        </w:rPr>
        <w:t>4</w:t>
      </w:r>
      <w:r w:rsidRPr="00384B41">
        <w:rPr>
          <w:rFonts w:ascii="Times New Roman" w:hAnsi="Times New Roman"/>
          <w:sz w:val="24"/>
          <w:szCs w:val="24"/>
        </w:rPr>
        <w:t xml:space="preserve"> года </w:t>
      </w:r>
      <w:r w:rsidR="00E02D68" w:rsidRPr="00384B41">
        <w:rPr>
          <w:rFonts w:ascii="Times New Roman" w:hAnsi="Times New Roman"/>
          <w:sz w:val="24"/>
          <w:szCs w:val="24"/>
        </w:rPr>
        <w:t>№ 5</w:t>
      </w:r>
      <w:r w:rsidR="001B43DD" w:rsidRPr="00384B41">
        <w:rPr>
          <w:rFonts w:ascii="Times New Roman" w:hAnsi="Times New Roman"/>
          <w:sz w:val="24"/>
          <w:szCs w:val="24"/>
        </w:rPr>
        <w:t>08</w:t>
      </w:r>
      <w:r w:rsidR="00E02D68" w:rsidRPr="00384B41">
        <w:rPr>
          <w:rFonts w:ascii="Times New Roman" w:hAnsi="Times New Roman"/>
          <w:sz w:val="24"/>
          <w:szCs w:val="24"/>
        </w:rPr>
        <w:t xml:space="preserve">-п </w:t>
      </w:r>
      <w:r w:rsidRPr="00384B41">
        <w:rPr>
          <w:rFonts w:ascii="Times New Roman" w:hAnsi="Times New Roman"/>
          <w:sz w:val="24"/>
          <w:szCs w:val="24"/>
        </w:rPr>
        <w:t>"О мерах по реализации "Закона о бюджете Ханты-Мансийского автономного округа - Югры на 201</w:t>
      </w:r>
      <w:r w:rsidR="001B43DD" w:rsidRPr="00384B41">
        <w:rPr>
          <w:rFonts w:ascii="Times New Roman" w:hAnsi="Times New Roman"/>
          <w:sz w:val="24"/>
          <w:szCs w:val="24"/>
        </w:rPr>
        <w:t>5 год и плановый период 2016</w:t>
      </w:r>
      <w:r w:rsidRPr="00384B41">
        <w:rPr>
          <w:rFonts w:ascii="Times New Roman" w:hAnsi="Times New Roman"/>
          <w:sz w:val="24"/>
          <w:szCs w:val="24"/>
        </w:rPr>
        <w:t xml:space="preserve"> - 201</w:t>
      </w:r>
      <w:r w:rsidR="001B43DD" w:rsidRPr="00384B41">
        <w:rPr>
          <w:rFonts w:ascii="Times New Roman" w:hAnsi="Times New Roman"/>
          <w:sz w:val="24"/>
          <w:szCs w:val="24"/>
        </w:rPr>
        <w:t>7</w:t>
      </w:r>
      <w:r w:rsidRPr="00384B41">
        <w:rPr>
          <w:rFonts w:ascii="Times New Roman" w:hAnsi="Times New Roman"/>
          <w:sz w:val="24"/>
          <w:szCs w:val="24"/>
        </w:rPr>
        <w:t xml:space="preserve"> годов"</w:t>
      </w:r>
      <w:r w:rsidR="00F45D05" w:rsidRPr="00384B41">
        <w:rPr>
          <w:rFonts w:ascii="Times New Roman" w:hAnsi="Times New Roman"/>
          <w:sz w:val="24"/>
          <w:szCs w:val="24"/>
        </w:rPr>
        <w:t xml:space="preserve"> </w:t>
      </w:r>
      <w:r w:rsidR="009845A9" w:rsidRPr="00384B41">
        <w:rPr>
          <w:rFonts w:ascii="Times New Roman" w:hAnsi="Times New Roman"/>
          <w:sz w:val="24"/>
          <w:szCs w:val="24"/>
        </w:rPr>
        <w:t>в феврале 201</w:t>
      </w:r>
      <w:r w:rsidR="001B43DD" w:rsidRPr="00384B41">
        <w:rPr>
          <w:rFonts w:ascii="Times New Roman" w:hAnsi="Times New Roman"/>
          <w:sz w:val="24"/>
          <w:szCs w:val="24"/>
        </w:rPr>
        <w:t>5</w:t>
      </w:r>
      <w:r w:rsidR="009845A9" w:rsidRPr="00384B41">
        <w:rPr>
          <w:rFonts w:ascii="Times New Roman" w:hAnsi="Times New Roman"/>
          <w:sz w:val="24"/>
          <w:szCs w:val="24"/>
        </w:rPr>
        <w:t xml:space="preserve"> года </w:t>
      </w:r>
      <w:r w:rsidR="00F45D05" w:rsidRPr="00384B41">
        <w:rPr>
          <w:rFonts w:ascii="Times New Roman" w:hAnsi="Times New Roman"/>
          <w:sz w:val="24"/>
          <w:szCs w:val="24"/>
        </w:rPr>
        <w:t xml:space="preserve">были оптимизированы </w:t>
      </w:r>
      <w:r w:rsidR="001B43DD" w:rsidRPr="00384B41">
        <w:rPr>
          <w:rFonts w:ascii="Times New Roman" w:hAnsi="Times New Roman"/>
          <w:sz w:val="24"/>
          <w:szCs w:val="24"/>
        </w:rPr>
        <w:t>расходы бюджета автономного округа по Государственной программе в сумме 4 840,0 тыс. рублей на 2015 год, 15 140,0 тыс. рублей на 2016 год, 13 168,3 тыс. рублей на 2017 год.</w:t>
      </w:r>
    </w:p>
    <w:p w:rsidR="00447A7A" w:rsidRPr="00384B41" w:rsidRDefault="00447A7A" w:rsidP="00384B41">
      <w:pPr>
        <w:pStyle w:val="2"/>
        <w:spacing w:after="0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384B41">
        <w:rPr>
          <w:rFonts w:ascii="Times New Roman" w:hAnsi="Times New Roman"/>
          <w:sz w:val="24"/>
          <w:szCs w:val="24"/>
        </w:rPr>
        <w:t>В Государственной программе предусмотрены средства на реализацию мероприятия по капитальному ремонту многоквартирных домов, реализуемому в соо</w:t>
      </w:r>
      <w:r w:rsidR="00F4108C" w:rsidRPr="00384B41">
        <w:rPr>
          <w:rFonts w:ascii="Times New Roman" w:hAnsi="Times New Roman"/>
          <w:sz w:val="24"/>
          <w:szCs w:val="24"/>
        </w:rPr>
        <w:t>тветствии с принятым Краткосрочным</w:t>
      </w:r>
      <w:r w:rsidRPr="00384B41">
        <w:rPr>
          <w:rFonts w:ascii="Times New Roman" w:hAnsi="Times New Roman"/>
          <w:sz w:val="24"/>
          <w:szCs w:val="24"/>
        </w:rPr>
        <w:t xml:space="preserve"> п</w:t>
      </w:r>
      <w:r w:rsidR="00F4108C" w:rsidRPr="00384B41">
        <w:rPr>
          <w:rFonts w:ascii="Times New Roman" w:hAnsi="Times New Roman"/>
          <w:sz w:val="24"/>
          <w:szCs w:val="24"/>
        </w:rPr>
        <w:t>ланом</w:t>
      </w:r>
      <w:r w:rsidR="00765C7D" w:rsidRPr="00384B41">
        <w:rPr>
          <w:rFonts w:ascii="Times New Roman" w:hAnsi="Times New Roman"/>
          <w:sz w:val="24"/>
          <w:szCs w:val="24"/>
        </w:rPr>
        <w:t xml:space="preserve"> реализации окружной программы капитального ремонта общего имущества многоквартирных домов</w:t>
      </w:r>
      <w:r w:rsidRPr="00384B41">
        <w:rPr>
          <w:rFonts w:ascii="Times New Roman" w:hAnsi="Times New Roman"/>
          <w:sz w:val="24"/>
          <w:szCs w:val="24"/>
        </w:rPr>
        <w:t xml:space="preserve"> Югорский оператором (Фондом капитального ремонта многоквартирных домов). В ходе реализации данного мероприятия возникли следующие проблемы:</w:t>
      </w:r>
    </w:p>
    <w:p w:rsidR="00384B41" w:rsidRPr="00384B41" w:rsidRDefault="00384B41" w:rsidP="00384B4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- недостоверные сведения о техническом состоянии МКД, предоставленные управляющими организациями и муниципальными образованиями в рамках мониторинга, послужившие исходными данными для подготовки проектной документации, вследствие чего увеличились сроки подготовки и согласования документации.</w:t>
      </w:r>
    </w:p>
    <w:p w:rsidR="00384B41" w:rsidRPr="00384B41" w:rsidRDefault="00384B41" w:rsidP="00384B4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- некачественно подготовленные управляющими компаниями дефектные ведомости, на основании которых была определена сметная стоимость работ, выставленная на конкурс. В результате занижения объемов работ в отдельных случаях потребовалось проведение повторных конкурсов, что привело к увеличению сроков работ.</w:t>
      </w:r>
    </w:p>
    <w:p w:rsidR="00384B41" w:rsidRPr="00384B41" w:rsidRDefault="00384B41" w:rsidP="00384B4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- дефицит подрядных организаций (условия выполнения и оплаты работ не предполагают авансовых и промежуточных платежей, не все строительные организации готовы работать на таких условиях), в том числе наличие недобросовестных подрядчиков, по вине которых были сорваны сроки выполнения работ и расторгнуты договоры, что также потребовало проведения повторных конкурсов.</w:t>
      </w:r>
    </w:p>
    <w:p w:rsidR="00384B41" w:rsidRPr="00384B41" w:rsidRDefault="00384B41" w:rsidP="00384B4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- экономическая ситуация в стране, приведшая к удорожанию материалов, ресурсов, снижению доступности кредитных ресурсов в связи с повышением ставок и, как следствие, ухудшению финансового состояния подрядных организаций.</w:t>
      </w:r>
    </w:p>
    <w:p w:rsidR="00384B41" w:rsidRPr="00384B41" w:rsidRDefault="00384B41" w:rsidP="00384B4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lastRenderedPageBreak/>
        <w:t>- незаинтересованность органов местного самоуправления некоторых муниципальных образований в оказании содействия Фонду в реализации программы капитального ремонта, в том числе отказ от принятия функций технического заказчика, строительного контроля.</w:t>
      </w:r>
    </w:p>
    <w:p w:rsidR="00384B41" w:rsidRPr="00384B41" w:rsidRDefault="00384B41" w:rsidP="00384B41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- не предоставление собственниками помещений в МКД допуска к инженерным сетям для производства работ по их замене.     </w:t>
      </w:r>
    </w:p>
    <w:p w:rsidR="00447A7A" w:rsidRPr="00384B41" w:rsidRDefault="00447A7A" w:rsidP="00384B41">
      <w:pPr>
        <w:pStyle w:val="2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84B41">
        <w:rPr>
          <w:rFonts w:ascii="Times New Roman" w:hAnsi="Times New Roman"/>
          <w:sz w:val="24"/>
          <w:szCs w:val="24"/>
        </w:rPr>
        <w:t xml:space="preserve">             В течение 201</w:t>
      </w:r>
      <w:r w:rsidR="00C65580" w:rsidRPr="00384B41">
        <w:rPr>
          <w:rFonts w:ascii="Times New Roman" w:hAnsi="Times New Roman"/>
          <w:sz w:val="24"/>
          <w:szCs w:val="24"/>
        </w:rPr>
        <w:t>5</w:t>
      </w:r>
      <w:r w:rsidRPr="00384B41">
        <w:rPr>
          <w:rFonts w:ascii="Times New Roman" w:hAnsi="Times New Roman"/>
          <w:sz w:val="24"/>
          <w:szCs w:val="24"/>
        </w:rPr>
        <w:t xml:space="preserve"> года при исполнении отдельных мероприятий Государственной программы, направленных поддержку частных инвестиций в жилищно-коммунальном комплексе, а также по оказанию поддержки местным бюджетам в возмещении части затрат на оплату за энергоресурсы, заявителями не соблюдались в полной мере требования порядка предоставления субсидии, в некоторых случаях заявки отсутствовали вовсе. В таких случаях предоставление субсидии не </w:t>
      </w:r>
      <w:r w:rsidR="00E02D68" w:rsidRPr="00384B41">
        <w:rPr>
          <w:rFonts w:ascii="Times New Roman" w:hAnsi="Times New Roman"/>
          <w:sz w:val="24"/>
          <w:szCs w:val="24"/>
        </w:rPr>
        <w:t>производилось.</w:t>
      </w:r>
    </w:p>
    <w:p w:rsidR="00447A7A" w:rsidRPr="00384B41" w:rsidRDefault="00447A7A" w:rsidP="00384B41">
      <w:pPr>
        <w:pStyle w:val="2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384B41">
        <w:rPr>
          <w:rFonts w:ascii="Times New Roman" w:hAnsi="Times New Roman"/>
          <w:sz w:val="24"/>
          <w:szCs w:val="24"/>
        </w:rPr>
        <w:t xml:space="preserve">             В целях эффективного использования бюджетных средств в случаях отсутствия потребности (заявок)</w:t>
      </w:r>
      <w:r w:rsidR="00E02D68" w:rsidRPr="00384B41">
        <w:rPr>
          <w:rFonts w:ascii="Times New Roman" w:hAnsi="Times New Roman"/>
          <w:sz w:val="24"/>
          <w:szCs w:val="24"/>
        </w:rPr>
        <w:t>,</w:t>
      </w:r>
      <w:r w:rsidRPr="00384B41">
        <w:rPr>
          <w:rFonts w:ascii="Times New Roman" w:hAnsi="Times New Roman"/>
          <w:sz w:val="24"/>
          <w:szCs w:val="24"/>
        </w:rPr>
        <w:t xml:space="preserve"> средства перераспределены на иные мероприятия Государственной программы с учетом их востребованности.</w:t>
      </w:r>
    </w:p>
    <w:p w:rsidR="00ED55D2" w:rsidRPr="00384B41" w:rsidRDefault="00ED55D2" w:rsidP="00384B41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В условиях ограничения роста тарифов на электроэнергию снижаются объемы финансирования инвестиционных программ сетевых организаций автономного округа, что вынуждает сетевые организации сокращать расходы на строительство новых электросетевых объектов и реконструкцию существующих. </w:t>
      </w:r>
    </w:p>
    <w:p w:rsidR="001B2777" w:rsidRPr="00384B41" w:rsidRDefault="001B2777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64F3" w:rsidRPr="00384B41" w:rsidRDefault="00ED55D2" w:rsidP="00384B41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4B41">
        <w:rPr>
          <w:rFonts w:ascii="Times New Roman" w:hAnsi="Times New Roman" w:cs="Times New Roman"/>
          <w:b/>
          <w:i/>
          <w:sz w:val="24"/>
          <w:szCs w:val="24"/>
        </w:rPr>
        <w:t>8.</w:t>
      </w:r>
      <w:r w:rsidR="00D264F3" w:rsidRPr="00384B4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b/>
          <w:i/>
          <w:sz w:val="24"/>
          <w:szCs w:val="24"/>
        </w:rPr>
        <w:t>Эффективность подпрограмм и отдельных мероприятий государственной программы (оценка результативности государственной программы с учетом объема ресурсов, направленных на ее реализацию и степени достижения целей и решения задач подпрограмм и мероприятий).</w:t>
      </w:r>
    </w:p>
    <w:p w:rsidR="00FF03C2" w:rsidRPr="00384B41" w:rsidRDefault="00FF03C2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F03C2" w:rsidRPr="00384B41" w:rsidRDefault="00FF03C2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Выполнение плановых значений целевых показателей по Государственной программе по итогам за 2015 год говорит о достижении поставленных в отчетном периоде целей и задач, результативном использовании направленных на реализацию мероприятий ресурсов.</w:t>
      </w:r>
    </w:p>
    <w:p w:rsidR="00FF03C2" w:rsidRPr="00384B41" w:rsidRDefault="00FF03C2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В течение 2015 году корректировка Государственной программы производилась по мере изменений, производимых в законодательстве федерального уровня и в нормативно-правовых актах Ханты-Мансийского автономного округа – Югры. </w:t>
      </w:r>
    </w:p>
    <w:p w:rsidR="00FF03C2" w:rsidRDefault="00FF03C2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Всего подготовлено 4 изменения в Государственную программу. </w:t>
      </w:r>
    </w:p>
    <w:p w:rsidR="007551D9" w:rsidRPr="007551D9" w:rsidRDefault="007551D9" w:rsidP="007551D9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51D9">
        <w:rPr>
          <w:rFonts w:ascii="Times New Roman" w:hAnsi="Times New Roman" w:cs="Times New Roman"/>
          <w:sz w:val="24"/>
          <w:szCs w:val="24"/>
        </w:rPr>
        <w:t xml:space="preserve">В 2015 году к зоне централизованного электроснабжения были присоединены 3 населенных пункта: </w:t>
      </w:r>
      <w:proofErr w:type="spellStart"/>
      <w:proofErr w:type="gramStart"/>
      <w:r w:rsidRPr="007551D9">
        <w:rPr>
          <w:rFonts w:ascii="Times New Roman" w:hAnsi="Times New Roman" w:cs="Times New Roman"/>
          <w:sz w:val="24"/>
          <w:szCs w:val="24"/>
        </w:rPr>
        <w:t>Пыръях</w:t>
      </w:r>
      <w:proofErr w:type="spellEnd"/>
      <w:r w:rsidRPr="007551D9">
        <w:rPr>
          <w:rFonts w:ascii="Times New Roman" w:hAnsi="Times New Roman" w:cs="Times New Roman"/>
          <w:sz w:val="24"/>
          <w:szCs w:val="24"/>
        </w:rPr>
        <w:t>,  Кышик</w:t>
      </w:r>
      <w:proofErr w:type="gramEnd"/>
      <w:r w:rsidRPr="007551D9">
        <w:rPr>
          <w:rFonts w:ascii="Times New Roman" w:hAnsi="Times New Roman" w:cs="Times New Roman"/>
          <w:sz w:val="24"/>
          <w:szCs w:val="24"/>
        </w:rPr>
        <w:t>, Зенково Ханты-Мансийского района. По итогам 2015 года общее количество населенных пунктов, присоединенных к зоне централизованного электроснабжения, достигло 158, и их доля достигла 76,5 % от общего количества населенных пунктов Югры, что соответствует плановым значениям указанных целевых показателей.</w:t>
      </w:r>
    </w:p>
    <w:p w:rsidR="007551D9" w:rsidRPr="007551D9" w:rsidRDefault="007551D9" w:rsidP="007551D9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551D9">
        <w:rPr>
          <w:rFonts w:ascii="Times New Roman" w:hAnsi="Times New Roman" w:cs="Times New Roman"/>
          <w:sz w:val="24"/>
          <w:szCs w:val="24"/>
        </w:rPr>
        <w:t xml:space="preserve"> В рамках реализации мероприятий Государственной программы, направленных на строительство электросетевых объектов, в 2015 году было успешно продолжено решение задачи Государственной программы по развитию и модернизация электроэнергетической отрасли Югры. Своевременный ввод в эксплуатацию вновь построенных и реконструированных объектов электросетевого комплекса создает необходимые условия для достижения цели Государственной программы по обеспечению существующих потребителей электрической энергии надежным и качественным электроснабжением, а также подключению новых потребителей.</w:t>
      </w:r>
    </w:p>
    <w:p w:rsidR="007551D9" w:rsidRPr="00384B41" w:rsidRDefault="007551D9" w:rsidP="00384B41">
      <w:pPr>
        <w:widowControl w:val="0"/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D55D2" w:rsidRPr="00384B41" w:rsidRDefault="00ED55D2" w:rsidP="00384B41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1F1A3B" w:rsidRPr="00384B41" w:rsidRDefault="001F1A3B" w:rsidP="00384B41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4B41">
        <w:rPr>
          <w:rFonts w:ascii="Times New Roman" w:hAnsi="Times New Roman" w:cs="Times New Roman"/>
          <w:b/>
          <w:i/>
          <w:sz w:val="24"/>
          <w:szCs w:val="24"/>
        </w:rPr>
        <w:t>9.</w:t>
      </w:r>
      <w:r w:rsidR="000034EE" w:rsidRPr="00384B4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384B41">
        <w:rPr>
          <w:rFonts w:ascii="Times New Roman" w:hAnsi="Times New Roman" w:cs="Times New Roman"/>
          <w:b/>
          <w:i/>
          <w:sz w:val="24"/>
          <w:szCs w:val="24"/>
        </w:rPr>
        <w:t>Выводы (наиболее значимые реализованные проекты, в том числе количество и мощность введенных в 2015 году объектов капитального строительства, передовой опыт и достижения автономного округа в отрасли), предложения по повышению эффективности мероприятий государственной программы и о необходимости корректировки государственной программы.</w:t>
      </w:r>
    </w:p>
    <w:p w:rsidR="006D5256" w:rsidRPr="00384B41" w:rsidRDefault="001F1A3B" w:rsidP="00384B41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384B4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0034EE" w:rsidRPr="00384B41" w:rsidRDefault="000034EE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           В целом по Государственной программе достигнуто исполнение </w:t>
      </w:r>
      <w:r w:rsidR="00256B88" w:rsidRPr="00384B41">
        <w:rPr>
          <w:rFonts w:ascii="Times New Roman" w:hAnsi="Times New Roman" w:cs="Times New Roman"/>
          <w:sz w:val="24"/>
          <w:szCs w:val="24"/>
        </w:rPr>
        <w:t xml:space="preserve">98,7 </w:t>
      </w:r>
      <w:r w:rsidR="001861D9" w:rsidRPr="00384B41">
        <w:rPr>
          <w:rFonts w:ascii="Times New Roman" w:hAnsi="Times New Roman" w:cs="Times New Roman"/>
          <w:sz w:val="24"/>
          <w:szCs w:val="24"/>
        </w:rPr>
        <w:t xml:space="preserve">% </w:t>
      </w:r>
      <w:r w:rsidRPr="00384B41">
        <w:rPr>
          <w:rFonts w:ascii="Times New Roman" w:hAnsi="Times New Roman" w:cs="Times New Roman"/>
          <w:sz w:val="24"/>
          <w:szCs w:val="24"/>
        </w:rPr>
        <w:t xml:space="preserve">к плановым значениям. </w:t>
      </w:r>
    </w:p>
    <w:p w:rsidR="000034EE" w:rsidRPr="00384B41" w:rsidRDefault="000034EE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1B6CA6" w:rsidRPr="00384B41">
        <w:rPr>
          <w:rFonts w:ascii="Times New Roman" w:hAnsi="Times New Roman" w:cs="Times New Roman"/>
          <w:sz w:val="24"/>
          <w:szCs w:val="24"/>
        </w:rPr>
        <w:t>Перед Департаментом стояла важная задача</w:t>
      </w:r>
      <w:r w:rsidR="001861D9" w:rsidRPr="00384B41">
        <w:rPr>
          <w:rFonts w:ascii="Times New Roman" w:hAnsi="Times New Roman" w:cs="Times New Roman"/>
          <w:sz w:val="24"/>
          <w:szCs w:val="24"/>
        </w:rPr>
        <w:t>,</w:t>
      </w:r>
      <w:r w:rsidR="001B6CA6" w:rsidRPr="00384B41">
        <w:rPr>
          <w:rFonts w:ascii="Times New Roman" w:hAnsi="Times New Roman" w:cs="Times New Roman"/>
          <w:sz w:val="24"/>
          <w:szCs w:val="24"/>
        </w:rPr>
        <w:t xml:space="preserve"> путем реализации мероприятий Государственной программы повысить эффективность, качество и надежность поставки коммунальных ресурсов, в том числе </w:t>
      </w:r>
      <w:r w:rsidR="001861D9" w:rsidRPr="00384B41">
        <w:rPr>
          <w:rFonts w:ascii="Times New Roman" w:hAnsi="Times New Roman" w:cs="Times New Roman"/>
          <w:sz w:val="24"/>
          <w:szCs w:val="24"/>
        </w:rPr>
        <w:t xml:space="preserve">с </w:t>
      </w:r>
      <w:r w:rsidR="001B6CA6" w:rsidRPr="00384B41">
        <w:rPr>
          <w:rFonts w:ascii="Times New Roman" w:hAnsi="Times New Roman" w:cs="Times New Roman"/>
          <w:sz w:val="24"/>
          <w:szCs w:val="24"/>
        </w:rPr>
        <w:t>привлечением долгосрочных частных инвестиций, что является важным аспектом новых направлений инвестиционной политики автономного округа. С этой целью привлекались частные инвестиции в модернизацию объектов жилищно-коммунального хозяйства</w:t>
      </w:r>
      <w:r w:rsidR="001D66D6" w:rsidRPr="00384B41">
        <w:rPr>
          <w:rFonts w:ascii="Times New Roman" w:hAnsi="Times New Roman" w:cs="Times New Roman"/>
          <w:sz w:val="24"/>
          <w:szCs w:val="24"/>
        </w:rPr>
        <w:t>,</w:t>
      </w:r>
      <w:r w:rsidR="001B6CA6" w:rsidRPr="00384B41">
        <w:rPr>
          <w:rFonts w:ascii="Times New Roman" w:hAnsi="Times New Roman" w:cs="Times New Roman"/>
          <w:sz w:val="24"/>
          <w:szCs w:val="24"/>
        </w:rPr>
        <w:t xml:space="preserve"> в соответствии с концессионными соглашениями и осуществлялись мероприятия по передаче вышеуказанных объектов в концессию. </w:t>
      </w:r>
      <w:r w:rsidR="003F753A" w:rsidRPr="00384B41">
        <w:rPr>
          <w:rFonts w:ascii="Times New Roman" w:hAnsi="Times New Roman" w:cs="Times New Roman"/>
          <w:sz w:val="24"/>
          <w:szCs w:val="24"/>
        </w:rPr>
        <w:t>Также об активизации процессов привлечения инвестиционных ресурсов органами местного самоуправления муниципальных образований автономного округа свидетельствует рост доли инвестиционных ресурсов в общем объеме капитальных вложений</w:t>
      </w:r>
      <w:r w:rsidR="006D4AA7" w:rsidRPr="00384B41">
        <w:rPr>
          <w:rFonts w:ascii="Times New Roman" w:hAnsi="Times New Roman" w:cs="Times New Roman"/>
          <w:sz w:val="24"/>
          <w:szCs w:val="24"/>
        </w:rPr>
        <w:t>. В 201</w:t>
      </w:r>
      <w:r w:rsidR="009B083F" w:rsidRPr="00384B41">
        <w:rPr>
          <w:rFonts w:ascii="Times New Roman" w:hAnsi="Times New Roman" w:cs="Times New Roman"/>
          <w:sz w:val="24"/>
          <w:szCs w:val="24"/>
        </w:rPr>
        <w:t>5</w:t>
      </w:r>
      <w:r w:rsidR="006D4AA7" w:rsidRPr="00384B41">
        <w:rPr>
          <w:rFonts w:ascii="Times New Roman" w:hAnsi="Times New Roman" w:cs="Times New Roman"/>
          <w:sz w:val="24"/>
          <w:szCs w:val="24"/>
        </w:rPr>
        <w:t xml:space="preserve"> году доля привлеченных средств составила 28</w:t>
      </w:r>
      <w:r w:rsidR="009B083F" w:rsidRPr="00384B41">
        <w:rPr>
          <w:rFonts w:ascii="Times New Roman" w:hAnsi="Times New Roman" w:cs="Times New Roman"/>
          <w:sz w:val="24"/>
          <w:szCs w:val="24"/>
        </w:rPr>
        <w:t>,6</w:t>
      </w:r>
      <w:r w:rsidR="006D4AA7" w:rsidRPr="00384B41">
        <w:rPr>
          <w:rFonts w:ascii="Times New Roman" w:hAnsi="Times New Roman" w:cs="Times New Roman"/>
          <w:sz w:val="24"/>
          <w:szCs w:val="24"/>
        </w:rPr>
        <w:t>%. Для сравнения в 2012 году показатель состоял на уровне 20,7%.</w:t>
      </w:r>
    </w:p>
    <w:p w:rsidR="003453B7" w:rsidRPr="00384B41" w:rsidRDefault="003453B7" w:rsidP="00384B41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В рамках Программы газификации регионов Российской Федерации реализуемой совместно с ОАО «Газпром» в 201</w:t>
      </w:r>
      <w:r w:rsidR="009B083F" w:rsidRPr="00384B41">
        <w:rPr>
          <w:rFonts w:ascii="Times New Roman" w:hAnsi="Times New Roman" w:cs="Times New Roman"/>
          <w:sz w:val="24"/>
          <w:szCs w:val="24"/>
        </w:rPr>
        <w:t>5</w:t>
      </w:r>
      <w:r w:rsidRPr="00384B41">
        <w:rPr>
          <w:rFonts w:ascii="Times New Roman" w:hAnsi="Times New Roman" w:cs="Times New Roman"/>
          <w:sz w:val="24"/>
          <w:szCs w:val="24"/>
        </w:rPr>
        <w:t xml:space="preserve"> году завершено строительство объекта «</w:t>
      </w:r>
      <w:r w:rsidR="009B083F" w:rsidRPr="00384B41">
        <w:rPr>
          <w:rFonts w:ascii="Times New Roman" w:hAnsi="Times New Roman" w:cs="Times New Roman"/>
          <w:sz w:val="24"/>
          <w:szCs w:val="24"/>
        </w:rPr>
        <w:t xml:space="preserve">Газоснабжение </w:t>
      </w:r>
      <w:proofErr w:type="spellStart"/>
      <w:r w:rsidR="009B083F" w:rsidRPr="00384B41">
        <w:rPr>
          <w:rFonts w:ascii="Times New Roman" w:hAnsi="Times New Roman" w:cs="Times New Roman"/>
          <w:sz w:val="24"/>
          <w:szCs w:val="24"/>
        </w:rPr>
        <w:t>пгт.Зеленоборск</w:t>
      </w:r>
      <w:proofErr w:type="spellEnd"/>
      <w:r w:rsidR="009B083F" w:rsidRPr="00384B41">
        <w:rPr>
          <w:rFonts w:ascii="Times New Roman" w:hAnsi="Times New Roman" w:cs="Times New Roman"/>
          <w:sz w:val="24"/>
          <w:szCs w:val="24"/>
        </w:rPr>
        <w:t xml:space="preserve"> Советского района»</w:t>
      </w:r>
      <w:r w:rsidRPr="00384B41">
        <w:rPr>
          <w:rFonts w:ascii="Times New Roman" w:hAnsi="Times New Roman" w:cs="Times New Roman"/>
          <w:sz w:val="24"/>
          <w:szCs w:val="24"/>
        </w:rPr>
        <w:t>. Введен в эксплуатацию объект «</w:t>
      </w:r>
      <w:r w:rsidR="009B083F" w:rsidRPr="00384B41">
        <w:rPr>
          <w:rFonts w:ascii="Times New Roman" w:hAnsi="Times New Roman" w:cs="Times New Roman"/>
          <w:sz w:val="24"/>
          <w:szCs w:val="24"/>
        </w:rPr>
        <w:t>Газификация п. Кирпичный Ханты-Мансийского района</w:t>
      </w:r>
      <w:r w:rsidRPr="00384B41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C65580" w:rsidRPr="00384B41" w:rsidRDefault="00C65580" w:rsidP="00384B41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К ключевым достижениям в коммунальной сфере в 2015 году можно отнести завершение строительства трех крупных объектов водоотведения, водоснабжения, теплоснабжения на территории автономного округа:</w:t>
      </w:r>
    </w:p>
    <w:p w:rsidR="00C65580" w:rsidRPr="00384B41" w:rsidRDefault="00C65580" w:rsidP="00384B4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84B41">
        <w:rPr>
          <w:rFonts w:ascii="Times New Roman" w:hAnsi="Times New Roman"/>
          <w:sz w:val="24"/>
          <w:szCs w:val="24"/>
        </w:rPr>
        <w:t>Первый этап строительства канализационно-очистных сооружений производительностью 25 000 м3/сутки в городе Нефтеюганске.</w:t>
      </w:r>
    </w:p>
    <w:p w:rsidR="00C65580" w:rsidRPr="00384B41" w:rsidRDefault="00C65580" w:rsidP="00384B4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84B41">
        <w:rPr>
          <w:rFonts w:ascii="Times New Roman" w:hAnsi="Times New Roman"/>
          <w:sz w:val="24"/>
          <w:szCs w:val="24"/>
        </w:rPr>
        <w:t xml:space="preserve">Реконструкция водозабора №1 </w:t>
      </w:r>
      <w:r w:rsidR="00256B88" w:rsidRPr="00384B41">
        <w:rPr>
          <w:rFonts w:ascii="Times New Roman" w:hAnsi="Times New Roman"/>
          <w:sz w:val="24"/>
          <w:szCs w:val="24"/>
        </w:rPr>
        <w:t xml:space="preserve">производительностью 5 000 м3/сутки </w:t>
      </w:r>
      <w:r w:rsidRPr="00384B41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384B41">
        <w:rPr>
          <w:rFonts w:ascii="Times New Roman" w:hAnsi="Times New Roman"/>
          <w:sz w:val="24"/>
          <w:szCs w:val="24"/>
        </w:rPr>
        <w:t>пгт</w:t>
      </w:r>
      <w:proofErr w:type="spellEnd"/>
      <w:r w:rsidRPr="00384B41">
        <w:rPr>
          <w:rFonts w:ascii="Times New Roman" w:hAnsi="Times New Roman"/>
          <w:sz w:val="24"/>
          <w:szCs w:val="24"/>
        </w:rPr>
        <w:t>. Междуреченский Кондинского района.</w:t>
      </w:r>
    </w:p>
    <w:p w:rsidR="00C65580" w:rsidRPr="00384B41" w:rsidRDefault="00C65580" w:rsidP="00384B41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384B41">
        <w:rPr>
          <w:rFonts w:ascii="Times New Roman" w:hAnsi="Times New Roman"/>
          <w:sz w:val="24"/>
          <w:szCs w:val="24"/>
        </w:rPr>
        <w:t xml:space="preserve">Теплотрасса по ул. </w:t>
      </w:r>
      <w:proofErr w:type="spellStart"/>
      <w:r w:rsidRPr="00384B41">
        <w:rPr>
          <w:rFonts w:ascii="Times New Roman" w:hAnsi="Times New Roman"/>
          <w:sz w:val="24"/>
          <w:szCs w:val="24"/>
        </w:rPr>
        <w:t>Кузоваткина</w:t>
      </w:r>
      <w:proofErr w:type="spellEnd"/>
      <w:r w:rsidRPr="00384B41">
        <w:rPr>
          <w:rFonts w:ascii="Times New Roman" w:hAnsi="Times New Roman"/>
          <w:sz w:val="24"/>
          <w:szCs w:val="24"/>
        </w:rPr>
        <w:t xml:space="preserve"> от котельной №1 до ул. Северной города Нижневартовска.</w:t>
      </w:r>
    </w:p>
    <w:p w:rsidR="003453B7" w:rsidRPr="00384B41" w:rsidRDefault="003453B7" w:rsidP="00384B41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>Для обеспечения населения питьевой водой в автономном округе действуют 117 водоочистных сооружений</w:t>
      </w:r>
      <w:r w:rsidR="001D66D6" w:rsidRPr="00384B41">
        <w:rPr>
          <w:rFonts w:ascii="Times New Roman" w:hAnsi="Times New Roman" w:cs="Times New Roman"/>
          <w:sz w:val="24"/>
          <w:szCs w:val="24"/>
        </w:rPr>
        <w:t>,</w:t>
      </w:r>
      <w:r w:rsidRPr="00384B41">
        <w:rPr>
          <w:rFonts w:ascii="Times New Roman" w:hAnsi="Times New Roman" w:cs="Times New Roman"/>
          <w:sz w:val="24"/>
          <w:szCs w:val="24"/>
        </w:rPr>
        <w:t xml:space="preserve"> суммарной производительностью 632,9 тыс. куб. м. в сутки.</w:t>
      </w:r>
    </w:p>
    <w:p w:rsidR="003453B7" w:rsidRPr="00384B41" w:rsidRDefault="00D728BE" w:rsidP="00384B41">
      <w:pPr>
        <w:spacing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Для повышения качества коммунальных услуг, снижения потерь и эксплуатационных расходов в отчетном периоде Департаментом проведен анализ потребности муниципальных образований в части проведения капитального ремонта инженерных сетей. По итогам 2015 года подписаны 22 соглашения и 29 дополнительных соглашений о предоставлении субсидий на капитальный ремонт (с заменой) газопроводов, систем теплоснабжения, водоснабжения, водоотведения для подготовки к осенне-зимнему периоду. По предложению Департамента увеличены объемы субсидии 2015 года с 49,1 млн. рублей до 992,6 млн. рублей, что позволило провести капитальный ремонт (замену) газопроводов, систем теплоснабжения, водоснабжения, водоотведения в однотрубном и двухтрубном исполнении (с одновременным переоборудованием узлов и агрегатов) протяженностью </w:t>
      </w:r>
      <w:r w:rsidR="00256B88" w:rsidRPr="00384B41">
        <w:rPr>
          <w:rFonts w:ascii="Times New Roman" w:hAnsi="Times New Roman" w:cs="Times New Roman"/>
          <w:sz w:val="24"/>
          <w:szCs w:val="24"/>
        </w:rPr>
        <w:t>84 169</w:t>
      </w:r>
      <w:r w:rsidR="003453B7" w:rsidRPr="00384B41">
        <w:rPr>
          <w:rFonts w:ascii="Times New Roman" w:hAnsi="Times New Roman" w:cs="Times New Roman"/>
          <w:sz w:val="24"/>
          <w:szCs w:val="24"/>
        </w:rPr>
        <w:t xml:space="preserve"> </w:t>
      </w:r>
      <w:r w:rsidR="008B0ED7" w:rsidRPr="00384B41">
        <w:rPr>
          <w:rFonts w:ascii="Times New Roman" w:hAnsi="Times New Roman" w:cs="Times New Roman"/>
          <w:sz w:val="24"/>
          <w:szCs w:val="24"/>
        </w:rPr>
        <w:t>метров</w:t>
      </w:r>
      <w:r w:rsidR="001E5FAD" w:rsidRPr="00384B41">
        <w:rPr>
          <w:rFonts w:ascii="Times New Roman" w:hAnsi="Times New Roman" w:cs="Times New Roman"/>
          <w:sz w:val="24"/>
          <w:szCs w:val="24"/>
        </w:rPr>
        <w:t>.</w:t>
      </w:r>
    </w:p>
    <w:p w:rsidR="008B0ED7" w:rsidRPr="00384B41" w:rsidRDefault="008B0ED7" w:rsidP="00384B41">
      <w:pPr>
        <w:widowControl w:val="0"/>
        <w:autoSpaceDE w:val="0"/>
        <w:autoSpaceDN w:val="0"/>
        <w:adjustRightInd w:val="0"/>
        <w:spacing w:after="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lastRenderedPageBreak/>
        <w:t xml:space="preserve">На возмещение недополученных доходов гарантирующим поставщикам в децентрализованной зоне электроснабжения </w:t>
      </w:r>
      <w:r w:rsidR="003E39C1" w:rsidRPr="00384B41">
        <w:rPr>
          <w:rFonts w:ascii="Times New Roman" w:hAnsi="Times New Roman" w:cs="Times New Roman"/>
          <w:sz w:val="24"/>
          <w:szCs w:val="24"/>
        </w:rPr>
        <w:t>из бюджета автономного округа была оказана поддержка 7 муниципальным образованиям.</w:t>
      </w:r>
    </w:p>
    <w:p w:rsidR="003E39C1" w:rsidRPr="00384B41" w:rsidRDefault="003E39C1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         На территории автономного округа в рамках реализации инвестиционных программ электросетевых организаций за счет внебюджетных средств ведется активное строительство и реконструкция электросетевых объектов.</w:t>
      </w:r>
    </w:p>
    <w:p w:rsidR="00E001F4" w:rsidRPr="00384B41" w:rsidRDefault="00E001F4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         В соответствии со Стратегией социально-экономического развития Ханты-Мансийского автономного округа – Югры на период до 2030 года, основной целью электроэнергетики в автономном округе является преодоление энергетических барьеров экономического роста за счет оптимального соотношения усилий по наращиванию энергетического потенциала и снижения потребности в дополнительных энергоресурсах за счет энергосбережения.</w:t>
      </w:r>
    </w:p>
    <w:p w:rsidR="00E001F4" w:rsidRPr="00384B41" w:rsidRDefault="00E001F4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          Приоритеты развития электроэнергетики определяются расширением и перевооружением крупных существующих электростанций, строительством новых базовых электростанций в дефицитных энергорайонах и переводом на централизованное электроснабжение большей части населенных пунктов автономного округа. Для тех территорий, где по экономическим соображениям нерационально строительство крупных электростанций и линий электропередачи, приоритетным является внедрение инновационных технологий производства электроэнергии на основе ветрогенерации и биотоплива, а также с использованием сжиженного природного и попутного нефтяного газа. </w:t>
      </w:r>
    </w:p>
    <w:p w:rsidR="008454EC" w:rsidRPr="00384B41" w:rsidRDefault="008454EC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          Поэтапная реализация приоритетных направлений развития электроэнергетики позволит стабилизировать обеспечение электропотребителей округа и сократить себестоимость электроэнергии, снизить тарифы для предприятий и населения, будет способствовать развитию производственной инфраструктуры.</w:t>
      </w:r>
    </w:p>
    <w:p w:rsidR="00CE6759" w:rsidRPr="00384B41" w:rsidRDefault="008454EC" w:rsidP="00384B4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84B41">
        <w:rPr>
          <w:rFonts w:ascii="Times New Roman" w:hAnsi="Times New Roman" w:cs="Times New Roman"/>
          <w:sz w:val="24"/>
          <w:szCs w:val="24"/>
        </w:rPr>
        <w:t xml:space="preserve">         </w:t>
      </w:r>
      <w:r w:rsidR="00CE6759" w:rsidRPr="00384B41">
        <w:rPr>
          <w:rFonts w:ascii="Times New Roman" w:hAnsi="Times New Roman" w:cs="Times New Roman"/>
          <w:sz w:val="24"/>
          <w:szCs w:val="24"/>
        </w:rPr>
        <w:t>В 201</w:t>
      </w:r>
      <w:r w:rsidR="00FF03C2" w:rsidRPr="00384B41">
        <w:rPr>
          <w:rFonts w:ascii="Times New Roman" w:hAnsi="Times New Roman" w:cs="Times New Roman"/>
          <w:sz w:val="24"/>
          <w:szCs w:val="24"/>
        </w:rPr>
        <w:t>6</w:t>
      </w:r>
      <w:r w:rsidR="00CE6759" w:rsidRPr="00384B41">
        <w:rPr>
          <w:rFonts w:ascii="Times New Roman" w:hAnsi="Times New Roman" w:cs="Times New Roman"/>
          <w:sz w:val="24"/>
          <w:szCs w:val="24"/>
        </w:rPr>
        <w:t xml:space="preserve"> году планируется продолжить реализацию Государственной программы, обеспечив эффективную реализацию ее мероприятий, выделяя наиболее перспективные направления.</w:t>
      </w:r>
    </w:p>
    <w:p w:rsidR="00C650E4" w:rsidRDefault="00C650E4" w:rsidP="00384B4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650E4" w:rsidSect="00487840">
      <w:footerReference w:type="default" r:id="rId9"/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5F22" w:rsidRDefault="00255F22" w:rsidP="00925AB1">
      <w:pPr>
        <w:spacing w:after="0" w:line="240" w:lineRule="auto"/>
      </w:pPr>
      <w:r>
        <w:separator/>
      </w:r>
    </w:p>
  </w:endnote>
  <w:endnote w:type="continuationSeparator" w:id="0">
    <w:p w:rsidR="00255F22" w:rsidRDefault="00255F22" w:rsidP="00925A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486816"/>
      <w:docPartObj>
        <w:docPartGallery w:val="Page Numbers (Bottom of Page)"/>
        <w:docPartUnique/>
      </w:docPartObj>
    </w:sdtPr>
    <w:sdtEndPr/>
    <w:sdtContent>
      <w:p w:rsidR="00F7380B" w:rsidRDefault="00C650E4" w:rsidP="00C650E4">
        <w:pPr>
          <w:pStyle w:val="ab"/>
        </w:pPr>
        <w:r>
          <w:tab/>
        </w:r>
        <w:r w:rsidR="00F7380B">
          <w:fldChar w:fldCharType="begin"/>
        </w:r>
        <w:r w:rsidR="00F7380B">
          <w:instrText>PAGE   \* MERGEFORMAT</w:instrText>
        </w:r>
        <w:r w:rsidR="00F7380B">
          <w:fldChar w:fldCharType="separate"/>
        </w:r>
        <w:r w:rsidR="00B96DCF">
          <w:rPr>
            <w:noProof/>
          </w:rPr>
          <w:t>10</w:t>
        </w:r>
        <w:r w:rsidR="00F7380B">
          <w:fldChar w:fldCharType="end"/>
        </w:r>
      </w:p>
    </w:sdtContent>
  </w:sdt>
  <w:p w:rsidR="00F7380B" w:rsidRDefault="00F7380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5F22" w:rsidRDefault="00255F22" w:rsidP="00925AB1">
      <w:pPr>
        <w:spacing w:after="0" w:line="240" w:lineRule="auto"/>
      </w:pPr>
      <w:r>
        <w:separator/>
      </w:r>
    </w:p>
  </w:footnote>
  <w:footnote w:type="continuationSeparator" w:id="0">
    <w:p w:rsidR="00255F22" w:rsidRDefault="00255F22" w:rsidP="00925A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9F09AB"/>
    <w:multiLevelType w:val="hybridMultilevel"/>
    <w:tmpl w:val="473AF04E"/>
    <w:lvl w:ilvl="0" w:tplc="6DB2B02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0206DB"/>
    <w:multiLevelType w:val="multilevel"/>
    <w:tmpl w:val="5E0086E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2">
    <w:nsid w:val="58F73BF8"/>
    <w:multiLevelType w:val="hybridMultilevel"/>
    <w:tmpl w:val="647E9294"/>
    <w:lvl w:ilvl="0" w:tplc="66FC718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73362F2"/>
    <w:multiLevelType w:val="hybridMultilevel"/>
    <w:tmpl w:val="4F0E1C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8B0"/>
    <w:rsid w:val="000034EE"/>
    <w:rsid w:val="0000784F"/>
    <w:rsid w:val="000238D0"/>
    <w:rsid w:val="00062081"/>
    <w:rsid w:val="00064310"/>
    <w:rsid w:val="00073771"/>
    <w:rsid w:val="0008195A"/>
    <w:rsid w:val="00092FB8"/>
    <w:rsid w:val="000A346F"/>
    <w:rsid w:val="000D4924"/>
    <w:rsid w:val="000F63A5"/>
    <w:rsid w:val="00104C3E"/>
    <w:rsid w:val="00117917"/>
    <w:rsid w:val="00125DE8"/>
    <w:rsid w:val="00134010"/>
    <w:rsid w:val="00141D42"/>
    <w:rsid w:val="001861D9"/>
    <w:rsid w:val="001B2777"/>
    <w:rsid w:val="001B43DD"/>
    <w:rsid w:val="001B6CA6"/>
    <w:rsid w:val="001C076D"/>
    <w:rsid w:val="001C30BD"/>
    <w:rsid w:val="001D66D6"/>
    <w:rsid w:val="001D70A2"/>
    <w:rsid w:val="001E5FAD"/>
    <w:rsid w:val="001F1A3B"/>
    <w:rsid w:val="001F4853"/>
    <w:rsid w:val="001F5BDF"/>
    <w:rsid w:val="001F7240"/>
    <w:rsid w:val="00223CBF"/>
    <w:rsid w:val="00230E4B"/>
    <w:rsid w:val="00246FB2"/>
    <w:rsid w:val="002557C9"/>
    <w:rsid w:val="00255F22"/>
    <w:rsid w:val="00256B88"/>
    <w:rsid w:val="0029443B"/>
    <w:rsid w:val="002A5439"/>
    <w:rsid w:val="002C74BF"/>
    <w:rsid w:val="002F659C"/>
    <w:rsid w:val="00314766"/>
    <w:rsid w:val="003367D6"/>
    <w:rsid w:val="003453B7"/>
    <w:rsid w:val="00384B41"/>
    <w:rsid w:val="003B7FE9"/>
    <w:rsid w:val="003C25EE"/>
    <w:rsid w:val="003D7EA7"/>
    <w:rsid w:val="003E39C1"/>
    <w:rsid w:val="003F7386"/>
    <w:rsid w:val="003F753A"/>
    <w:rsid w:val="003F78FF"/>
    <w:rsid w:val="00407BD7"/>
    <w:rsid w:val="00417723"/>
    <w:rsid w:val="004226D5"/>
    <w:rsid w:val="004367C2"/>
    <w:rsid w:val="00445542"/>
    <w:rsid w:val="00447A7A"/>
    <w:rsid w:val="00471417"/>
    <w:rsid w:val="0047323D"/>
    <w:rsid w:val="00484FF4"/>
    <w:rsid w:val="00487840"/>
    <w:rsid w:val="00495CF9"/>
    <w:rsid w:val="004B3E3D"/>
    <w:rsid w:val="004C168B"/>
    <w:rsid w:val="004D1B39"/>
    <w:rsid w:val="004E197B"/>
    <w:rsid w:val="00521500"/>
    <w:rsid w:val="00527C11"/>
    <w:rsid w:val="00545A0B"/>
    <w:rsid w:val="005471ED"/>
    <w:rsid w:val="00562957"/>
    <w:rsid w:val="00566CBF"/>
    <w:rsid w:val="00570448"/>
    <w:rsid w:val="005917AB"/>
    <w:rsid w:val="005A1B96"/>
    <w:rsid w:val="005C478C"/>
    <w:rsid w:val="005C5134"/>
    <w:rsid w:val="00667BE9"/>
    <w:rsid w:val="00671EC6"/>
    <w:rsid w:val="006A340D"/>
    <w:rsid w:val="006B3C91"/>
    <w:rsid w:val="006D4AA7"/>
    <w:rsid w:val="006D5256"/>
    <w:rsid w:val="006E72B5"/>
    <w:rsid w:val="0070368D"/>
    <w:rsid w:val="007371E0"/>
    <w:rsid w:val="007460DF"/>
    <w:rsid w:val="007518EB"/>
    <w:rsid w:val="007551D9"/>
    <w:rsid w:val="00756772"/>
    <w:rsid w:val="00765C7D"/>
    <w:rsid w:val="0077366B"/>
    <w:rsid w:val="007911D2"/>
    <w:rsid w:val="007947A4"/>
    <w:rsid w:val="007A1E0B"/>
    <w:rsid w:val="007A2C3C"/>
    <w:rsid w:val="007B63B3"/>
    <w:rsid w:val="007F5336"/>
    <w:rsid w:val="007F53FC"/>
    <w:rsid w:val="007F6F93"/>
    <w:rsid w:val="00811049"/>
    <w:rsid w:val="00813D45"/>
    <w:rsid w:val="008454EC"/>
    <w:rsid w:val="00860D99"/>
    <w:rsid w:val="008640FE"/>
    <w:rsid w:val="0087767B"/>
    <w:rsid w:val="008A38B5"/>
    <w:rsid w:val="008A51A0"/>
    <w:rsid w:val="008B02E7"/>
    <w:rsid w:val="008B0ED7"/>
    <w:rsid w:val="008B1DAC"/>
    <w:rsid w:val="00900BA2"/>
    <w:rsid w:val="009116B3"/>
    <w:rsid w:val="00925AB1"/>
    <w:rsid w:val="00937A1C"/>
    <w:rsid w:val="009535A5"/>
    <w:rsid w:val="009703B3"/>
    <w:rsid w:val="009845A9"/>
    <w:rsid w:val="009969EF"/>
    <w:rsid w:val="009A29FE"/>
    <w:rsid w:val="009B083F"/>
    <w:rsid w:val="009B742E"/>
    <w:rsid w:val="009C580B"/>
    <w:rsid w:val="009F4ABB"/>
    <w:rsid w:val="00A11AEC"/>
    <w:rsid w:val="00A3487E"/>
    <w:rsid w:val="00A35393"/>
    <w:rsid w:val="00A523CE"/>
    <w:rsid w:val="00A64BB9"/>
    <w:rsid w:val="00A808B0"/>
    <w:rsid w:val="00A940A0"/>
    <w:rsid w:val="00AA2BF7"/>
    <w:rsid w:val="00AC550E"/>
    <w:rsid w:val="00AE0EB5"/>
    <w:rsid w:val="00AE2D76"/>
    <w:rsid w:val="00B046EE"/>
    <w:rsid w:val="00B13862"/>
    <w:rsid w:val="00B373C2"/>
    <w:rsid w:val="00B516DE"/>
    <w:rsid w:val="00B55EB5"/>
    <w:rsid w:val="00B76F08"/>
    <w:rsid w:val="00B77978"/>
    <w:rsid w:val="00B8160F"/>
    <w:rsid w:val="00B96869"/>
    <w:rsid w:val="00B96DCF"/>
    <w:rsid w:val="00BA248A"/>
    <w:rsid w:val="00BA2DF4"/>
    <w:rsid w:val="00BA5EB2"/>
    <w:rsid w:val="00BB0A71"/>
    <w:rsid w:val="00BF0215"/>
    <w:rsid w:val="00C11597"/>
    <w:rsid w:val="00C50D60"/>
    <w:rsid w:val="00C650E4"/>
    <w:rsid w:val="00C65580"/>
    <w:rsid w:val="00C90512"/>
    <w:rsid w:val="00C911A8"/>
    <w:rsid w:val="00C93E22"/>
    <w:rsid w:val="00CA1EB2"/>
    <w:rsid w:val="00CB59EE"/>
    <w:rsid w:val="00CC1389"/>
    <w:rsid w:val="00CC649C"/>
    <w:rsid w:val="00CE6759"/>
    <w:rsid w:val="00CE676B"/>
    <w:rsid w:val="00CF1AD6"/>
    <w:rsid w:val="00CF3405"/>
    <w:rsid w:val="00CF52D1"/>
    <w:rsid w:val="00D102BD"/>
    <w:rsid w:val="00D12119"/>
    <w:rsid w:val="00D14D5B"/>
    <w:rsid w:val="00D1771D"/>
    <w:rsid w:val="00D25242"/>
    <w:rsid w:val="00D264F3"/>
    <w:rsid w:val="00D37905"/>
    <w:rsid w:val="00D414DF"/>
    <w:rsid w:val="00D46B0F"/>
    <w:rsid w:val="00D5069D"/>
    <w:rsid w:val="00D728BE"/>
    <w:rsid w:val="00D960F9"/>
    <w:rsid w:val="00DB7106"/>
    <w:rsid w:val="00DD7C35"/>
    <w:rsid w:val="00DF24BB"/>
    <w:rsid w:val="00DF7C52"/>
    <w:rsid w:val="00E001F4"/>
    <w:rsid w:val="00E02D68"/>
    <w:rsid w:val="00E03176"/>
    <w:rsid w:val="00E123C5"/>
    <w:rsid w:val="00E21D19"/>
    <w:rsid w:val="00E25D5C"/>
    <w:rsid w:val="00E35528"/>
    <w:rsid w:val="00E44851"/>
    <w:rsid w:val="00E51AA4"/>
    <w:rsid w:val="00E5446D"/>
    <w:rsid w:val="00E61D02"/>
    <w:rsid w:val="00E866E0"/>
    <w:rsid w:val="00E948B7"/>
    <w:rsid w:val="00EA4929"/>
    <w:rsid w:val="00EA6DDE"/>
    <w:rsid w:val="00ED3282"/>
    <w:rsid w:val="00ED55D2"/>
    <w:rsid w:val="00EE2BA1"/>
    <w:rsid w:val="00F4108C"/>
    <w:rsid w:val="00F45D05"/>
    <w:rsid w:val="00F53B6C"/>
    <w:rsid w:val="00F7380B"/>
    <w:rsid w:val="00FB1DF1"/>
    <w:rsid w:val="00FB6FB1"/>
    <w:rsid w:val="00FD0F38"/>
    <w:rsid w:val="00FD4D94"/>
    <w:rsid w:val="00FE000F"/>
    <w:rsid w:val="00FE4B27"/>
    <w:rsid w:val="00FF0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E92762-6987-4019-B286-A2443E80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Char"/>
    <w:basedOn w:val="a"/>
    <w:autoRedefine/>
    <w:rsid w:val="002F659C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">
    <w:name w:val="Абзац списка1"/>
    <w:basedOn w:val="a"/>
    <w:rsid w:val="002F659C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a3">
    <w:name w:val="Body Text"/>
    <w:basedOn w:val="a"/>
    <w:link w:val="a4"/>
    <w:rsid w:val="003F738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4">
    <w:name w:val="Основной текст Знак"/>
    <w:basedOn w:val="a0"/>
    <w:link w:val="a3"/>
    <w:rsid w:val="003F738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styleId="a5">
    <w:name w:val="Table Grid"/>
    <w:basedOn w:val="a1"/>
    <w:uiPriority w:val="39"/>
    <w:rsid w:val="003F73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3F738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3F7386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styleId="a8">
    <w:name w:val="line number"/>
    <w:basedOn w:val="a0"/>
    <w:uiPriority w:val="99"/>
    <w:semiHidden/>
    <w:unhideWhenUsed/>
    <w:rsid w:val="00925AB1"/>
  </w:style>
  <w:style w:type="paragraph" w:styleId="a9">
    <w:name w:val="header"/>
    <w:basedOn w:val="a"/>
    <w:link w:val="aa"/>
    <w:uiPriority w:val="99"/>
    <w:unhideWhenUsed/>
    <w:rsid w:val="00925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25AB1"/>
  </w:style>
  <w:style w:type="paragraph" w:styleId="ab">
    <w:name w:val="footer"/>
    <w:basedOn w:val="a"/>
    <w:link w:val="ac"/>
    <w:uiPriority w:val="99"/>
    <w:unhideWhenUsed/>
    <w:rsid w:val="00925A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25AB1"/>
  </w:style>
  <w:style w:type="paragraph" w:customStyle="1" w:styleId="2">
    <w:name w:val="Абзац списка2"/>
    <w:basedOn w:val="a"/>
    <w:rsid w:val="00445542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FB6F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FB6FB1"/>
    <w:rPr>
      <w:rFonts w:ascii="Segoe UI" w:hAnsi="Segoe UI" w:cs="Segoe UI"/>
      <w:sz w:val="18"/>
      <w:szCs w:val="18"/>
    </w:rPr>
  </w:style>
  <w:style w:type="paragraph" w:customStyle="1" w:styleId="CharChar0">
    <w:name w:val="Char Char"/>
    <w:basedOn w:val="a"/>
    <w:autoRedefine/>
    <w:rsid w:val="008B02E7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0" normalizeH="0" baseline="0">
                <a:solidFill>
                  <a:schemeClr val="dk1">
                    <a:lumMod val="50000"/>
                    <a:lumOff val="50000"/>
                  </a:schemeClr>
                </a:solidFill>
                <a:latin typeface="+mj-lt"/>
                <a:ea typeface="+mj-ea"/>
                <a:cs typeface="+mj-cs"/>
              </a:defRPr>
            </a:pPr>
            <a:r>
              <a:rPr lang="ru-RU" sz="1200" baseline="0"/>
              <a:t>Структура исполнения Государственной программы в 2015 году, %</a:t>
            </a:r>
          </a:p>
        </c:rich>
      </c:tx>
      <c:layout>
        <c:manualLayout>
          <c:xMode val="edge"/>
          <c:yMode val="edge"/>
          <c:x val="0.15083189732763494"/>
          <c:y val="1.857700167193015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0" normalizeH="0" baseline="0">
              <a:solidFill>
                <a:schemeClr val="dk1">
                  <a:lumMod val="50000"/>
                  <a:lumOff val="50000"/>
                </a:schemeClr>
              </a:solidFill>
              <a:latin typeface="+mj-lt"/>
              <a:ea typeface="+mj-ea"/>
              <a:cs typeface="+mj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bubble3D val="0"/>
            <c:explosion val="3"/>
            <c:spPr>
              <a:gradFill>
                <a:gsLst>
                  <a:gs pos="100000">
                    <a:schemeClr val="accent5">
                      <a:tint val="58000"/>
                      <a:lumMod val="60000"/>
                      <a:lumOff val="40000"/>
                    </a:schemeClr>
                  </a:gs>
                  <a:gs pos="0">
                    <a:schemeClr val="accent5">
                      <a:tint val="58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1"/>
            <c:bubble3D val="0"/>
            <c:spPr>
              <a:gradFill>
                <a:gsLst>
                  <a:gs pos="100000">
                    <a:schemeClr val="accent5">
                      <a:tint val="86000"/>
                      <a:lumMod val="60000"/>
                      <a:lumOff val="40000"/>
                    </a:schemeClr>
                  </a:gs>
                  <a:gs pos="0">
                    <a:schemeClr val="accent5">
                      <a:tint val="86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2"/>
            <c:bubble3D val="0"/>
            <c:spPr>
              <a:gradFill>
                <a:gsLst>
                  <a:gs pos="100000">
                    <a:schemeClr val="accent5">
                      <a:shade val="86000"/>
                      <a:lumMod val="60000"/>
                      <a:lumOff val="40000"/>
                    </a:schemeClr>
                  </a:gs>
                  <a:gs pos="0">
                    <a:schemeClr val="accent5">
                      <a:shade val="86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Pt>
            <c:idx val="3"/>
            <c:bubble3D val="0"/>
            <c:spPr>
              <a:gradFill>
                <a:gsLst>
                  <a:gs pos="100000">
                    <a:schemeClr val="accent5">
                      <a:shade val="58000"/>
                      <a:lumMod val="60000"/>
                      <a:lumOff val="40000"/>
                    </a:schemeClr>
                  </a:gs>
                  <a:gs pos="0">
                    <a:schemeClr val="accent5">
                      <a:shade val="58000"/>
                    </a:schemeClr>
                  </a:gs>
                </a:gsLst>
                <a:lin ang="5400000" scaled="0"/>
              </a:gradFill>
              <a:ln w="19050">
                <a:solidFill>
                  <a:schemeClr val="lt1"/>
                </a:solidFill>
              </a:ln>
              <a:effectLst/>
            </c:spPr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dk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Лист1!$A$2:$A$5</c:f>
              <c:strCache>
                <c:ptCount val="4"/>
                <c:pt idx="0">
                  <c:v>Инвестиции</c:v>
                </c:pt>
                <c:pt idx="1">
                  <c:v>Межбюджетные трансферты, субсидии, субвенции</c:v>
                </c:pt>
                <c:pt idx="2">
                  <c:v>Публичные обязательства</c:v>
                </c:pt>
                <c:pt idx="3">
                  <c:v>Прочие расходы</c:v>
                </c:pt>
              </c:strCache>
            </c:strRef>
          </c:cat>
          <c:val>
            <c:numRef>
              <c:f>Лист1!$B$2:$B$5</c:f>
              <c:numCache>
                <c:formatCode>0.0</c:formatCode>
                <c:ptCount val="4"/>
                <c:pt idx="0" formatCode="General">
                  <c:v>31.5</c:v>
                </c:pt>
                <c:pt idx="1">
                  <c:v>55</c:v>
                </c:pt>
                <c:pt idx="2" formatCode="General">
                  <c:v>0.1</c:v>
                </c:pt>
                <c:pt idx="3" formatCode="General">
                  <c:v>13.4</c:v>
                </c:pt>
              </c:numCache>
            </c:numRef>
          </c:val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alpha val="50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pattFill prst="dkDnDiag">
      <a:fgClr>
        <a:schemeClr val="lt1"/>
      </a:fgClr>
      <a:bgClr>
        <a:schemeClr val="dk1">
          <a:lumMod val="10000"/>
          <a:lumOff val="90000"/>
        </a:schemeClr>
      </a:bgClr>
    </a:patt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Reversed" id="25">
  <a:schemeClr val="accent5"/>
</cs:colorStyle>
</file>

<file path=word/charts/style1.xml><?xml version="1.0" encoding="utf-8"?>
<cs:chartStyle xmlns:cs="http://schemas.microsoft.com/office/drawing/2012/chartStyle" xmlns:a="http://schemas.openxmlformats.org/drawingml/2006/main" id="256">
  <cs:axisTitle>
    <cs:lnRef idx="0"/>
    <cs:fillRef idx="0"/>
    <cs:effectRef idx="0"/>
    <cs:fontRef idx="minor">
      <a:schemeClr val="dk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 cap="none" spc="0" normalizeH="0" baseline="0"/>
  </cs:categoryAxis>
  <cs:chartArea>
    <cs:lnRef idx="0"/>
    <cs:fillRef idx="0"/>
    <cs:effectRef idx="0"/>
    <cs:fontRef idx="minor">
      <a:schemeClr val="dk1"/>
    </cs:fontRef>
    <cs:spPr>
      <a:pattFill prst="dkDnDiag">
        <a:fgClr>
          <a:schemeClr val="lt1"/>
        </a:fgClr>
        <a:bgClr>
          <a:schemeClr val="dk1">
            <a:lumMod val="10000"/>
            <a:lumOff val="90000"/>
          </a:schemeClr>
        </a:bgClr>
      </a:patt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75000"/>
        </a:schemeClr>
      </a:solidFill>
      <a:ln w="9525"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19050">
        <a:solidFill>
          <a:schemeClr val="lt1"/>
        </a:solidFill>
      </a:ln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gradFill>
        <a:gsLst>
          <a:gs pos="100000">
            <a:schemeClr val="phClr">
              <a:lumMod val="60000"/>
              <a:lumOff val="40000"/>
            </a:schemeClr>
          </a:gs>
          <a:gs pos="0">
            <a:schemeClr val="phClr"/>
          </a:gs>
        </a:gsLst>
        <a:lin ang="5400000" scaled="0"/>
      </a:gradFill>
      <a:ln w="508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22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solidFill>
        <a:schemeClr val="lt1"/>
      </a:solidFill>
      <a:ln w="1587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65000"/>
        <a:lumOff val="35000"/>
      </a:schemeClr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8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>
          <a:alpha val="50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 cap="flat" cmpd="sng" algn="ctr">
        <a:solidFill>
          <a:schemeClr val="dk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ajor">
      <a:schemeClr val="dk1">
        <a:lumMod val="50000"/>
        <a:lumOff val="50000"/>
      </a:schemeClr>
    </cs:fontRef>
    <cs:defRPr sz="1600" b="1" kern="1200" spc="0" normalizeH="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upBar>
  <cs:valueAxis>
    <cs:lnRef idx="0"/>
    <cs:fillRef idx="0"/>
    <cs:effectRef idx="0"/>
    <cs:fontRef idx="minor">
      <a:schemeClr val="dk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B4A42C-B671-4DB9-84F1-E976CD164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4858</Words>
  <Characters>27691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Полуянова Нина Григорьевна</dc:creator>
  <cp:keywords/>
  <dc:description/>
  <cp:lastModifiedBy>Шеногин Юрий Адольфович</cp:lastModifiedBy>
  <cp:revision>20</cp:revision>
  <cp:lastPrinted>2016-02-15T11:29:00Z</cp:lastPrinted>
  <dcterms:created xsi:type="dcterms:W3CDTF">2016-02-15T06:28:00Z</dcterms:created>
  <dcterms:modified xsi:type="dcterms:W3CDTF">2016-03-17T07:50:00Z</dcterms:modified>
</cp:coreProperties>
</file>